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2117725</wp:posOffset>
            </wp:positionH>
            <wp:positionV relativeFrom="paragraph">
              <wp:posOffset>-457200</wp:posOffset>
            </wp:positionV>
            <wp:extent cx="1035050" cy="690245"/>
            <wp:effectExtent l="0" t="0" r="0" b="0"/>
            <wp:wrapNone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170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/>
        <w:jc w:val="center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ESG报告审验声明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中国质量认证中心（以下简称CQC）受XXXX集团</w:t>
      </w:r>
      <w:r>
        <w:rPr>
          <w:rFonts w:hint="eastAsia" w:ascii="仿宋" w:hAnsi="仿宋" w:eastAsia="仿宋" w:cs="仿宋"/>
          <w:i/>
          <w:iCs/>
        </w:rPr>
        <w:t>（此处为申请方，其他除非特指，均为报告提供方）</w:t>
      </w:r>
      <w:r>
        <w:rPr>
          <w:rFonts w:hint="eastAsia" w:ascii="仿宋" w:hAnsi="仿宋" w:eastAsia="仿宋" w:cs="仿宋"/>
        </w:rPr>
        <w:t>委托，于2022年X月X日至X月X日，对XXXX集团的20XX年度ESG报告（以下简称“报告”）进行了独立的报告审验工作。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XXXX集团负责收集、汇总、分析和披露报告中提到的信息和数据。CQC在与XXXX集团的协议中规定的范围内实施报告审验。XXXX</w:t>
      </w:r>
      <w:r>
        <w:rPr>
          <w:rFonts w:hint="eastAsia" w:ascii="仿宋" w:hAnsi="仿宋" w:eastAsia="仿宋" w:cs="仿宋"/>
          <w:i/>
          <w:iCs/>
        </w:rPr>
        <w:t>（申请方）</w:t>
      </w:r>
      <w:r>
        <w:rPr>
          <w:rFonts w:hint="eastAsia" w:ascii="仿宋" w:hAnsi="仿宋" w:eastAsia="仿宋" w:cs="仿宋"/>
        </w:rPr>
        <w:t>为本声明的指定用户。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本声明基于对XXXX集团编制的20XX年度ESG报告所开展的审验活动作出，XXXX集团对报告中信息和数据的完整性和真实性负责。</w:t>
      </w:r>
    </w:p>
    <w:p>
      <w:pPr>
        <w:spacing w:line="276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审验类型</w:t>
      </w:r>
    </w:p>
    <w:p>
      <w:pPr>
        <w:spacing w:line="276" w:lineRule="auto"/>
        <w:ind w:left="420" w:left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sz w:val="24"/>
        </w:rPr>
        <w:t xml:space="preserve">□ </w:t>
      </w:r>
      <w:r>
        <w:rPr>
          <w:rFonts w:hint="eastAsia" w:ascii="仿宋" w:hAnsi="仿宋" w:eastAsia="仿宋" w:cs="仿宋"/>
        </w:rPr>
        <w:t>定制审验</w:t>
      </w:r>
    </w:p>
    <w:p>
      <w:pPr>
        <w:spacing w:line="276" w:lineRule="auto"/>
        <w:ind w:left="420" w:left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sz w:val="24"/>
        </w:rPr>
        <w:t xml:space="preserve">□ </w:t>
      </w:r>
      <w:r>
        <w:rPr>
          <w:rFonts w:hint="eastAsia" w:ascii="仿宋" w:hAnsi="仿宋" w:eastAsia="仿宋" w:cs="仿宋"/>
        </w:rPr>
        <w:t>完整审验</w:t>
      </w:r>
    </w:p>
    <w:p>
      <w:pPr>
        <w:spacing w:line="276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审验范围</w:t>
      </w:r>
    </w:p>
    <w:p>
      <w:pPr>
        <w:spacing w:line="276" w:lineRule="auto"/>
        <w:ind w:left="420" w:left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i/>
          <w:iCs/>
        </w:rPr>
        <w:t>（如果是定制审验）</w:t>
      </w:r>
      <w:r>
        <w:rPr>
          <w:rFonts w:hint="eastAsia" w:ascii="仿宋" w:hAnsi="仿宋" w:eastAsia="仿宋" w:cs="仿宋"/>
          <w:b/>
          <w:bCs/>
        </w:rPr>
        <w:t xml:space="preserve"> </w:t>
      </w:r>
      <w:r>
        <w:rPr>
          <w:rFonts w:hint="eastAsia" w:ascii="仿宋" w:hAnsi="仿宋" w:eastAsia="仿宋" w:cs="仿宋"/>
        </w:rPr>
        <w:t>XXXX集团</w:t>
      </w:r>
      <w:r>
        <w:rPr>
          <w:rFonts w:hint="eastAsia" w:ascii="仿宋" w:hAnsi="仿宋" w:eastAsia="仿宋" w:cs="仿宋"/>
          <w:i/>
          <w:iCs/>
        </w:rPr>
        <w:t>（申请方）</w:t>
      </w:r>
      <w:r>
        <w:rPr>
          <w:rFonts w:hint="eastAsia" w:ascii="仿宋" w:hAnsi="仿宋" w:eastAsia="仿宋" w:cs="仿宋"/>
        </w:rPr>
        <w:t>所指定的报告中部分数据与信息（见附件）。</w:t>
      </w:r>
    </w:p>
    <w:p>
      <w:pPr>
        <w:spacing w:line="276" w:lineRule="auto"/>
        <w:ind w:left="420" w:left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i/>
          <w:iCs/>
        </w:rPr>
        <w:t>（如果是完整审验）</w:t>
      </w:r>
      <w:r>
        <w:rPr>
          <w:rFonts w:hint="eastAsia" w:ascii="仿宋" w:hAnsi="仿宋" w:eastAsia="仿宋" w:cs="仿宋"/>
        </w:rPr>
        <w:t>XXXX集团20XX年度ESG报告中的数据与信息。</w:t>
      </w:r>
    </w:p>
    <w:p>
      <w:pPr>
        <w:spacing w:line="276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审验依据</w:t>
      </w:r>
    </w:p>
    <w:p>
      <w:pPr>
        <w:spacing w:line="276" w:lineRule="auto"/>
        <w:ind w:firstLine="210" w:firstLine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《CQC 国资央企ESG报告审验实施方案》</w:t>
      </w:r>
    </w:p>
    <w:p>
      <w:pPr>
        <w:spacing w:line="276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审验方法</w:t>
      </w:r>
    </w:p>
    <w:p>
      <w:pPr>
        <w:spacing w:line="276" w:lineRule="auto"/>
        <w:ind w:firstLine="315" w:firstLineChars="1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本次审验所用方法包括但不仅限于：</w:t>
      </w:r>
    </w:p>
    <w:p>
      <w:pPr>
        <w:pStyle w:val="9"/>
        <w:numPr>
          <w:ilvl w:val="0"/>
          <w:numId w:val="1"/>
        </w:numPr>
        <w:spacing w:line="276" w:lineRule="auto"/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报告审阅；</w:t>
      </w:r>
    </w:p>
    <w:p>
      <w:pPr>
        <w:pStyle w:val="9"/>
        <w:numPr>
          <w:ilvl w:val="0"/>
          <w:numId w:val="1"/>
        </w:numPr>
        <w:spacing w:line="276" w:lineRule="auto"/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访谈；</w:t>
      </w:r>
    </w:p>
    <w:p>
      <w:pPr>
        <w:pStyle w:val="9"/>
        <w:numPr>
          <w:ilvl w:val="0"/>
          <w:numId w:val="1"/>
        </w:numPr>
        <w:spacing w:line="276" w:lineRule="auto"/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文件、记录、证书、票据等资料查阅/佐证；</w:t>
      </w:r>
    </w:p>
    <w:p>
      <w:pPr>
        <w:pStyle w:val="9"/>
        <w:numPr>
          <w:ilvl w:val="0"/>
          <w:numId w:val="1"/>
        </w:numPr>
        <w:spacing w:line="276" w:lineRule="auto"/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实地验证；</w:t>
      </w:r>
    </w:p>
    <w:p>
      <w:pPr>
        <w:pStyle w:val="9"/>
        <w:numPr>
          <w:ilvl w:val="0"/>
          <w:numId w:val="1"/>
        </w:numPr>
        <w:spacing w:line="276" w:lineRule="auto"/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可信信息源验证；</w:t>
      </w:r>
    </w:p>
    <w:p>
      <w:pPr>
        <w:pStyle w:val="9"/>
        <w:numPr>
          <w:ilvl w:val="0"/>
          <w:numId w:val="1"/>
        </w:numPr>
        <w:spacing w:line="276" w:lineRule="auto"/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对照披露依据验证；</w:t>
      </w:r>
    </w:p>
    <w:p>
      <w:pPr>
        <w:pStyle w:val="9"/>
        <w:numPr>
          <w:ilvl w:val="0"/>
          <w:numId w:val="1"/>
        </w:numPr>
        <w:spacing w:line="276" w:lineRule="auto"/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重新计算/测算；</w:t>
      </w:r>
    </w:p>
    <w:p>
      <w:pPr>
        <w:pStyle w:val="9"/>
        <w:numPr>
          <w:ilvl w:val="0"/>
          <w:numId w:val="1"/>
        </w:numPr>
        <w:spacing w:line="276" w:lineRule="auto"/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统计、计算/测算过程确认；</w:t>
      </w:r>
    </w:p>
    <w:p>
      <w:pPr>
        <w:spacing w:line="276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审验结论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</w:rPr>
        <w:t>报告反映了XXXX集团在2022年度ESG的开展情况和所取得的绩效，报告的整体质量达到了</w:t>
      </w:r>
      <w:r>
        <w:rPr>
          <w:rFonts w:hint="eastAsia" w:ascii="仿宋" w:hAnsi="仿宋" w:eastAsia="仿宋" w:cs="仿宋"/>
          <w:u w:val="single"/>
        </w:rPr>
        <w:t>（极好/良好/一般/较差/很差）</w:t>
      </w:r>
      <w:r>
        <w:rPr>
          <w:rFonts w:hint="eastAsia" w:ascii="仿宋" w:hAnsi="仿宋" w:eastAsia="仿宋" w:cs="仿宋"/>
        </w:rPr>
        <w:t>水平。</w:t>
      </w:r>
    </w:p>
    <w:p>
      <w:pPr>
        <w:spacing w:line="276" w:lineRule="auto"/>
        <w:ind w:left="210" w:left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报告的各审验维度情况如下：</w:t>
      </w:r>
    </w:p>
    <w:p>
      <w:pPr>
        <w:spacing w:line="276" w:lineRule="auto"/>
        <w:ind w:left="420" w:left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完整性：□极好 □良好 □一般 □较差 □很差</w:t>
      </w:r>
    </w:p>
    <w:p>
      <w:pPr>
        <w:spacing w:line="276" w:lineRule="auto"/>
        <w:ind w:left="420" w:left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实质性：□极好 □良好 □一般 □较差 □很差</w:t>
      </w:r>
    </w:p>
    <w:p>
      <w:pPr>
        <w:spacing w:line="276" w:lineRule="auto"/>
        <w:ind w:left="420" w:left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平衡性：□极好 □良好 □一般 □较差 □很差</w:t>
      </w:r>
    </w:p>
    <w:p>
      <w:pPr>
        <w:spacing w:line="276" w:lineRule="auto"/>
        <w:ind w:left="420" w:left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可读性：□极好 □良好 □一般 □较差 □很差</w:t>
      </w:r>
    </w:p>
    <w:p>
      <w:pPr>
        <w:spacing w:line="276" w:lineRule="auto"/>
        <w:ind w:left="420" w:left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准确性：□极好 □良好 □一般 □较差 □很差</w:t>
      </w:r>
    </w:p>
    <w:p>
      <w:pPr>
        <w:spacing w:line="276" w:lineRule="auto"/>
        <w:ind w:left="420" w:left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可靠性</w:t>
      </w:r>
      <w:bookmarkStart w:id="0" w:name="_GoBack"/>
      <w:bookmarkEnd w:id="0"/>
      <w:r>
        <w:rPr>
          <w:rFonts w:hint="eastAsia" w:ascii="仿宋" w:hAnsi="仿宋" w:eastAsia="仿宋" w:cs="仿宋"/>
        </w:rPr>
        <w:t>：□极好 □良好 □一般 □较差 □很差</w:t>
      </w:r>
    </w:p>
    <w:p>
      <w:pPr>
        <w:spacing w:line="276" w:lineRule="auto"/>
        <w:ind w:left="420" w:left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可比性：□极好 □良好 □一般 □较差 □很差</w:t>
      </w:r>
    </w:p>
    <w:p>
      <w:pPr>
        <w:spacing w:line="276" w:lineRule="auto"/>
        <w:rPr>
          <w:rFonts w:hint="eastAsia" w:ascii="仿宋" w:hAnsi="仿宋" w:eastAsia="仿宋" w:cs="仿宋"/>
          <w:b/>
          <w:bCs/>
        </w:rPr>
      </w:pPr>
    </w:p>
    <w:p>
      <w:pPr>
        <w:spacing w:line="276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改进建议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基于报告审验结论，CQC对XXX集团有以下改进建议：</w:t>
      </w:r>
    </w:p>
    <w:p>
      <w:pPr>
        <w:pStyle w:val="9"/>
        <w:numPr>
          <w:ilvl w:val="0"/>
          <w:numId w:val="2"/>
        </w:numPr>
        <w:spacing w:line="276" w:lineRule="auto"/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在报告的XXX方面，可XXX，以XXX；</w:t>
      </w:r>
    </w:p>
    <w:p>
      <w:pPr>
        <w:pStyle w:val="9"/>
        <w:numPr>
          <w:ilvl w:val="0"/>
          <w:numId w:val="2"/>
        </w:numPr>
        <w:spacing w:line="276" w:lineRule="auto"/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在报告的XXX方面，可XXX，以XXX；</w:t>
      </w:r>
    </w:p>
    <w:p>
      <w:pPr>
        <w:spacing w:line="276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……</w:t>
      </w:r>
    </w:p>
    <w:p>
      <w:pPr>
        <w:spacing w:line="276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局限性声明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□本次审验在考虑定量和定性风险分析的基础上采用抽样方法开展，抽样范围仅限于报告中选用的数据和信息，且未对XXXX集团的XXX的原始数据进行全面溯源。 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□本次审验只对XXXX集团的XXX进行访谈和查阅相关文件，访谈并未涉及到外部利益相关方。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□报告中经第三方审计/验证的数据和信息，本次审验过程中不做重复验证.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□报告中部分数据和信息不存在可以进行对比验证的数据/信息源。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□XXXXXX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</w:p>
    <w:p>
      <w:pPr>
        <w:spacing w:line="276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本审验声明中不包括：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■信息披露之外的活动；</w:t>
      </w:r>
    </w:p>
    <w:p>
      <w:pPr>
        <w:spacing w:line="276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■关于XXXX集团的立场、观点、信仰、目标、未来发展方向和承诺的陈述；</w:t>
      </w:r>
    </w:p>
    <w:p>
      <w:pPr>
        <w:spacing w:line="276" w:lineRule="auto"/>
        <w:rPr>
          <w:rFonts w:hint="eastAsia" w:ascii="仿宋" w:hAnsi="仿宋" w:eastAsia="仿宋" w:cs="仿宋"/>
        </w:rPr>
      </w:pPr>
    </w:p>
    <w:p>
      <w:pPr>
        <w:spacing w:line="276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独立性和能力的声明</w:t>
      </w:r>
    </w:p>
    <w:p>
      <w:pPr>
        <w:spacing w:line="276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中国质量认证中心是由中国政府批准设立，被多国政府和多个国际权威组织认可的第三方专业认证机构，隶属中国检验认证集团。中国质量认证中心可提供各类管理体系，产品安全与性能、节能环保认证、绿色低碳、管理提升、人员培训等相关技术服务，以及环境、社会责任、可持续发展、ESG报告的独立审验服务。</w:t>
      </w:r>
    </w:p>
    <w:p>
      <w:pPr>
        <w:spacing w:line="276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中国质量认证中心是独立的认证机构，确保与XXXX集团在实施本报告的审验过程中与XXXX集团及其利益相关方没有任何利益冲突。本报告所有信息由XXXX集团提供。CQC及本次报告审验人员未参与到报告的编制过程。</w:t>
      </w:r>
    </w:p>
    <w:p>
      <w:pPr>
        <w:spacing w:line="276" w:lineRule="auto"/>
        <w:rPr>
          <w:rFonts w:hint="eastAsia" w:ascii="仿宋" w:hAnsi="仿宋" w:eastAsia="仿宋" w:cs="仿宋"/>
        </w:rPr>
      </w:pPr>
    </w:p>
    <w:p>
      <w:pPr>
        <w:spacing w:line="276" w:lineRule="auto"/>
        <w:rPr>
          <w:rFonts w:hint="eastAsia" w:ascii="仿宋" w:hAnsi="仿宋" w:eastAsia="仿宋" w:cs="仿宋"/>
        </w:rPr>
      </w:pPr>
    </w:p>
    <w:p>
      <w:pPr>
        <w:spacing w:line="276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CQC授权人签名：</w:t>
      </w:r>
    </w:p>
    <w:p>
      <w:pPr>
        <w:spacing w:line="276" w:lineRule="auto"/>
        <w:rPr>
          <w:rFonts w:hint="eastAsia" w:ascii="仿宋" w:hAnsi="仿宋" w:eastAsia="仿宋" w:cs="仿宋"/>
        </w:rPr>
      </w:pPr>
    </w:p>
    <w:p>
      <w:pPr>
        <w:spacing w:line="276" w:lineRule="auto"/>
        <w:rPr>
          <w:rFonts w:hint="eastAsia" w:ascii="仿宋" w:hAnsi="仿宋" w:eastAsia="仿宋" w:cs="仿宋"/>
        </w:rPr>
      </w:pPr>
    </w:p>
    <w:p>
      <w:pPr>
        <w:spacing w:line="276" w:lineRule="auto"/>
        <w:rPr>
          <w:rFonts w:hint="eastAsia" w:ascii="仿宋" w:hAnsi="仿宋" w:eastAsia="仿宋" w:cs="仿宋"/>
        </w:rPr>
      </w:pPr>
    </w:p>
    <w:p>
      <w:pPr>
        <w:spacing w:line="276" w:lineRule="auto"/>
        <w:rPr>
          <w:rFonts w:hint="eastAsia" w:ascii="仿宋" w:hAnsi="仿宋" w:eastAsia="仿宋" w:cs="仿宋"/>
        </w:rPr>
      </w:pPr>
    </w:p>
    <w:p>
      <w:pPr>
        <w:spacing w:line="276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</w:t>
      </w:r>
    </w:p>
    <w:p>
      <w:pPr>
        <w:spacing w:line="276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定制审验的数据、信息条目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text" w:horzAnchor="page" w:tblpX="1552" w:tblpY="4"/>
      <w:tblOverlap w:val="never"/>
      <w:tblW w:w="0" w:type="auto"/>
      <w:tblInd w:w="0" w:type="dxa"/>
      <w:tblBorders>
        <w:top w:val="thickThinSmallGap" w:color="auto" w:sz="2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81"/>
      <w:gridCol w:w="7573"/>
    </w:tblGrid>
    <w:tr>
      <w:tblPrEx>
        <w:tblBorders>
          <w:top w:val="thickThin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81" w:type="dxa"/>
        </w:tcPr>
        <w:p>
          <w:pPr>
            <w:pStyle w:val="3"/>
            <w:rPr>
              <w:rFonts w:ascii="黑体" w:eastAsia="黑体"/>
              <w:b/>
            </w:rPr>
          </w:pPr>
          <w:r>
            <w:rPr>
              <w:rFonts w:hint="eastAsia" w:ascii="黑体" w:eastAsia="黑体"/>
              <w:b/>
            </w:rPr>
            <w:t>版本：2015版</w:t>
          </w:r>
        </w:p>
      </w:tc>
      <w:tc>
        <w:tcPr>
          <w:tcW w:w="7573" w:type="dxa"/>
        </w:tcPr>
        <w:p>
          <w:pPr>
            <w:pStyle w:val="3"/>
            <w:rPr>
              <w:rFonts w:ascii="黑体" w:eastAsia="黑体"/>
              <w:b/>
            </w:rPr>
          </w:pPr>
          <w:r>
            <w:rPr>
              <w:rFonts w:hint="eastAsia" w:ascii="黑体" w:eastAsia="黑体"/>
              <w:b/>
            </w:rPr>
            <w:t>发布/修订日期：20</w:t>
          </w:r>
          <w:r>
            <w:rPr>
              <w:rFonts w:hint="eastAsia" w:ascii="黑体" w:eastAsia="黑体"/>
              <w:b/>
              <w:lang w:val="en-US" w:eastAsia="zh-CN"/>
            </w:rPr>
            <w:t>23</w:t>
          </w:r>
          <w:r>
            <w:rPr>
              <w:rFonts w:hint="eastAsia" w:ascii="黑体" w:eastAsia="黑体"/>
              <w:b/>
            </w:rPr>
            <w:t>-</w:t>
          </w:r>
          <w:r>
            <w:rPr>
              <w:rFonts w:hint="eastAsia" w:ascii="黑体" w:eastAsia="黑体"/>
              <w:b/>
              <w:lang w:val="en-US" w:eastAsia="zh-CN"/>
            </w:rPr>
            <w:t>01</w:t>
          </w:r>
          <w:r>
            <w:rPr>
              <w:rFonts w:hint="eastAsia" w:ascii="黑体" w:eastAsia="黑体"/>
              <w:b/>
            </w:rPr>
            <w:t>-1</w:t>
          </w:r>
          <w:r>
            <w:rPr>
              <w:rFonts w:hint="eastAsia" w:ascii="黑体" w:eastAsia="黑体"/>
              <w:b/>
              <w:lang w:val="en-US" w:eastAsia="zh-CN"/>
            </w:rPr>
            <w:t>9</w:t>
          </w:r>
          <w:r>
            <w:rPr>
              <w:rFonts w:hint="eastAsia" w:ascii="黑体" w:eastAsia="黑体"/>
              <w:b/>
            </w:rPr>
            <w:t xml:space="preserve">          实施日期：20</w:t>
          </w:r>
          <w:r>
            <w:rPr>
              <w:rFonts w:hint="eastAsia" w:ascii="黑体" w:eastAsia="黑体"/>
              <w:b/>
              <w:lang w:val="en-US" w:eastAsia="zh-CN"/>
            </w:rPr>
            <w:t>23</w:t>
          </w:r>
          <w:r>
            <w:rPr>
              <w:rFonts w:hint="eastAsia" w:ascii="黑体" w:eastAsia="黑体"/>
              <w:b/>
            </w:rPr>
            <w:t>-</w:t>
          </w:r>
          <w:r>
            <w:rPr>
              <w:rFonts w:hint="eastAsia" w:ascii="黑体" w:eastAsia="黑体"/>
              <w:b/>
              <w:lang w:val="en-US" w:eastAsia="zh-CN"/>
            </w:rPr>
            <w:t>01</w:t>
          </w:r>
          <w:r>
            <w:rPr>
              <w:rFonts w:hint="eastAsia" w:ascii="黑体" w:eastAsia="黑体"/>
              <w:b/>
            </w:rPr>
            <w:t>-</w:t>
          </w:r>
          <w:r>
            <w:rPr>
              <w:rFonts w:hint="eastAsia" w:ascii="黑体" w:eastAsia="黑体"/>
              <w:b/>
              <w:lang w:val="en-US" w:eastAsia="zh-CN"/>
            </w:rPr>
            <w:t>20</w:t>
          </w:r>
          <w:r>
            <w:rPr>
              <w:rFonts w:hint="eastAsia" w:ascii="黑体" w:eastAsia="黑体"/>
              <w:b/>
            </w:rPr>
            <w:t xml:space="preserve">             </w:t>
          </w:r>
          <w:r>
            <w:rPr>
              <w:rFonts w:hint="eastAsia" w:ascii="黑体" w:eastAsia="黑体"/>
              <w:b/>
              <w:szCs w:val="21"/>
            </w:rPr>
            <w:t xml:space="preserve">第 </w:t>
          </w:r>
          <w:r>
            <w:rPr>
              <w:rFonts w:hint="eastAsia" w:ascii="黑体" w:eastAsia="黑体"/>
              <w:b/>
              <w:szCs w:val="21"/>
            </w:rPr>
            <w:fldChar w:fldCharType="begin"/>
          </w:r>
          <w:r>
            <w:rPr>
              <w:rFonts w:hint="eastAsia" w:ascii="黑体" w:eastAsia="黑体"/>
              <w:b/>
              <w:szCs w:val="21"/>
            </w:rPr>
            <w:instrText xml:space="preserve"> PAGE </w:instrText>
          </w:r>
          <w:r>
            <w:rPr>
              <w:rFonts w:hint="eastAsia" w:ascii="黑体" w:eastAsia="黑体"/>
              <w:b/>
              <w:szCs w:val="21"/>
            </w:rPr>
            <w:fldChar w:fldCharType="separate"/>
          </w:r>
          <w:r>
            <w:rPr>
              <w:rFonts w:ascii="黑体" w:eastAsia="黑体"/>
              <w:b/>
              <w:szCs w:val="21"/>
            </w:rPr>
            <w:t>1</w:t>
          </w:r>
          <w:r>
            <w:rPr>
              <w:rFonts w:hint="eastAsia" w:ascii="黑体" w:eastAsia="黑体"/>
              <w:b/>
              <w:szCs w:val="21"/>
            </w:rPr>
            <w:fldChar w:fldCharType="end"/>
          </w:r>
          <w:r>
            <w:rPr>
              <w:rFonts w:hint="eastAsia" w:ascii="黑体" w:eastAsia="黑体"/>
              <w:b/>
              <w:szCs w:val="21"/>
            </w:rPr>
            <w:t xml:space="preserve"> 页 共 </w:t>
          </w:r>
          <w:r>
            <w:rPr>
              <w:rFonts w:hint="eastAsia" w:ascii="黑体" w:eastAsia="黑体"/>
              <w:b/>
              <w:szCs w:val="21"/>
            </w:rPr>
            <w:fldChar w:fldCharType="begin"/>
          </w:r>
          <w:r>
            <w:rPr>
              <w:rFonts w:hint="eastAsia" w:ascii="黑体" w:eastAsia="黑体"/>
              <w:b/>
              <w:szCs w:val="21"/>
            </w:rPr>
            <w:instrText xml:space="preserve"> NUMPAGES </w:instrText>
          </w:r>
          <w:r>
            <w:rPr>
              <w:rFonts w:hint="eastAsia" w:ascii="黑体" w:eastAsia="黑体"/>
              <w:b/>
              <w:szCs w:val="21"/>
            </w:rPr>
            <w:fldChar w:fldCharType="separate"/>
          </w:r>
          <w:r>
            <w:rPr>
              <w:rFonts w:ascii="黑体" w:eastAsia="黑体"/>
              <w:b/>
              <w:szCs w:val="21"/>
            </w:rPr>
            <w:t>1</w:t>
          </w:r>
          <w:r>
            <w:rPr>
              <w:rFonts w:hint="eastAsia" w:ascii="黑体" w:eastAsia="黑体"/>
              <w:b/>
              <w:szCs w:val="21"/>
            </w:rPr>
            <w:fldChar w:fldCharType="end"/>
          </w:r>
          <w:r>
            <w:rPr>
              <w:rFonts w:hint="eastAsia" w:ascii="黑体" w:eastAsia="黑体"/>
              <w:b/>
              <w:szCs w:val="21"/>
            </w:rPr>
            <w:t xml:space="preserve"> 页</w:t>
          </w:r>
        </w:p>
      </w:tc>
    </w:tr>
  </w:tbl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27632"/>
    <w:multiLevelType w:val="multilevel"/>
    <w:tmpl w:val="31327632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2AB145E"/>
    <w:multiLevelType w:val="multilevel"/>
    <w:tmpl w:val="62AB145E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Y2ZiMTE0NjYzMjIxYjQ4YTZiMGRhNzM0NDliNTQifQ=="/>
  </w:docVars>
  <w:rsids>
    <w:rsidRoot w:val="0D776369"/>
    <w:rsid w:val="000E11DC"/>
    <w:rsid w:val="00186923"/>
    <w:rsid w:val="001F324D"/>
    <w:rsid w:val="00251640"/>
    <w:rsid w:val="00345FBA"/>
    <w:rsid w:val="00346673"/>
    <w:rsid w:val="00360DD0"/>
    <w:rsid w:val="00405EC4"/>
    <w:rsid w:val="005711FE"/>
    <w:rsid w:val="005F50E4"/>
    <w:rsid w:val="0061132E"/>
    <w:rsid w:val="00870CF9"/>
    <w:rsid w:val="008D103E"/>
    <w:rsid w:val="00B74AA8"/>
    <w:rsid w:val="00BF23BA"/>
    <w:rsid w:val="00C35500"/>
    <w:rsid w:val="00CF5672"/>
    <w:rsid w:val="00E9200D"/>
    <w:rsid w:val="00FF726F"/>
    <w:rsid w:val="0536243D"/>
    <w:rsid w:val="0D776369"/>
    <w:rsid w:val="141E051C"/>
    <w:rsid w:val="2A6E159A"/>
    <w:rsid w:val="2C06630A"/>
    <w:rsid w:val="3A650DE9"/>
    <w:rsid w:val="3D077B28"/>
    <w:rsid w:val="3F572FDD"/>
    <w:rsid w:val="49F46C98"/>
    <w:rsid w:val="682D47E6"/>
    <w:rsid w:val="69943D73"/>
    <w:rsid w:val="6C183815"/>
    <w:rsid w:val="6CAA15D0"/>
    <w:rsid w:val="75FC2026"/>
    <w:rsid w:val="791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360" w:lineRule="auto"/>
      <w:ind w:firstLine="480" w:firstLineChars="200"/>
    </w:pPr>
    <w:rPr>
      <w:rFonts w:ascii="宋体" w:hAnsi="宋体" w:eastAsia="宋体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中国质量认证中心</Company>
  <Pages>2</Pages>
  <Words>1174</Words>
  <Characters>203</Characters>
  <Lines>1</Lines>
  <Paragraphs>2</Paragraphs>
  <TotalTime>0</TotalTime>
  <ScaleCrop>false</ScaleCrop>
  <LinksUpToDate>false</LinksUpToDate>
  <CharactersWithSpaces>1375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2022-07-10T02:30:00Z</dcterms:created>
  <dc:creator>钱鑫</dc:creator>
  <cp:lastModifiedBy>王姝姝</cp:lastModifiedBy>
  <dcterms:modified xsi:type="dcterms:W3CDTF">2023-01-19T06:29:16Z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CEF97BF6ABD14CDAAAC36CEC52DB9EE3</vt:lpwstr>
  </property>
</Properties>
</file>