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04083">
      <w:pPr>
        <w:widowControl/>
        <w:spacing w:before="312" w:beforeLines="100" w:after="312" w:afterLines="100"/>
        <w:jc w:val="center"/>
        <w:rPr>
          <w:rFonts w:ascii="Times New Roman" w:hAnsi="Times New Roman" w:eastAsia="黑体" w:cs="Times New Roman"/>
          <w:b w:val="0"/>
          <w:bCs w:val="0"/>
          <w:color w:val="000000"/>
          <w:kern w:val="0"/>
          <w:sz w:val="32"/>
          <w:szCs w:val="32"/>
        </w:rPr>
      </w:pPr>
      <w:r>
        <w:rPr>
          <w:rFonts w:hint="eastAsia" w:ascii="Times New Roman" w:hAnsi="Times New Roman" w:eastAsia="黑体" w:cs="Times New Roman"/>
          <w:b w:val="0"/>
          <w:bCs w:val="0"/>
          <w:color w:val="000000"/>
          <w:kern w:val="0"/>
          <w:sz w:val="32"/>
          <w:szCs w:val="32"/>
          <w:lang w:val="en-US" w:eastAsia="zh-CN"/>
        </w:rPr>
        <w:t>人工智能高质量数据集</w:t>
      </w:r>
      <w:r>
        <w:rPr>
          <w:rFonts w:ascii="Times New Roman" w:hAnsi="Times New Roman" w:eastAsia="黑体" w:cs="Times New Roman"/>
          <w:b w:val="0"/>
          <w:bCs w:val="0"/>
          <w:color w:val="000000"/>
          <w:kern w:val="0"/>
          <w:sz w:val="32"/>
          <w:szCs w:val="32"/>
        </w:rPr>
        <w:t>评价申请书</w:t>
      </w:r>
    </w:p>
    <w:tbl>
      <w:tblPr>
        <w:tblStyle w:val="7"/>
        <w:tblW w:w="554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87"/>
        <w:gridCol w:w="3196"/>
        <w:gridCol w:w="1820"/>
        <w:gridCol w:w="2624"/>
      </w:tblGrid>
      <w:tr w14:paraId="03B8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4"/>
            <w:shd w:val="clear" w:color="auto" w:fill="BEBEBE" w:themeFill="background1" w:themeFillShade="BF"/>
            <w:vAlign w:val="center"/>
          </w:tcPr>
          <w:p w14:paraId="270AC3F2">
            <w:pPr>
              <w:keepNext w:val="0"/>
              <w:keepLines w:val="0"/>
              <w:pageBreakBefore w:val="0"/>
              <w:widowControl w:val="0"/>
              <w:kinsoku/>
              <w:wordWrap/>
              <w:overflowPunct/>
              <w:topLinePunct w:val="0"/>
              <w:autoSpaceDE w:val="0"/>
              <w:autoSpaceDN w:val="0"/>
              <w:bidi w:val="0"/>
              <w:adjustRightInd/>
              <w:snapToGrid/>
              <w:spacing w:line="377" w:lineRule="exact"/>
              <w:ind w:left="0"/>
              <w:jc w:val="center"/>
              <w:textAlignment w:val="auto"/>
              <w:rPr>
                <w:rFonts w:hint="eastAsia" w:ascii="黑体" w:hAnsi="黑体" w:eastAsia="黑体" w:cs="黑体"/>
                <w:b w:val="0"/>
                <w:bCs/>
                <w:kern w:val="0"/>
                <w:sz w:val="24"/>
                <w:lang w:val="zh-CN" w:bidi="zh-CN"/>
              </w:rPr>
            </w:pPr>
            <w:r>
              <w:rPr>
                <w:rFonts w:hint="eastAsia" w:ascii="黑体" w:hAnsi="黑体" w:eastAsia="黑体" w:cs="黑体"/>
                <w:b w:val="0"/>
                <w:bCs/>
                <w:color w:val="000007"/>
                <w:kern w:val="0"/>
                <w:sz w:val="28"/>
                <w:szCs w:val="24"/>
                <w:lang w:val="zh-CN" w:bidi="zh-CN"/>
              </w:rPr>
              <w:t>一、</w:t>
            </w:r>
            <w:r>
              <w:rPr>
                <w:rFonts w:hint="eastAsia" w:ascii="黑体" w:hAnsi="黑体" w:eastAsia="黑体" w:cs="黑体"/>
                <w:b w:val="0"/>
                <w:bCs/>
                <w:color w:val="000007"/>
                <w:kern w:val="0"/>
                <w:sz w:val="28"/>
                <w:szCs w:val="24"/>
                <w:lang w:val="en-US" w:bidi="zh-CN"/>
              </w:rPr>
              <w:t>申请单位简况</w:t>
            </w:r>
          </w:p>
        </w:tc>
      </w:tr>
      <w:tr w14:paraId="4E35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72F78DA5">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kern w:val="0"/>
                <w:sz w:val="24"/>
                <w:lang w:val="zh-CN" w:bidi="zh-CN"/>
              </w:rPr>
            </w:pPr>
            <w:r>
              <w:rPr>
                <w:rFonts w:hint="eastAsia" w:ascii="黑体" w:hAnsi="黑体" w:eastAsia="黑体" w:cs="黑体"/>
                <w:b w:val="0"/>
                <w:bCs/>
                <w:color w:val="000007"/>
                <w:kern w:val="0"/>
                <w:sz w:val="24"/>
                <w:lang w:val="en-US" w:bidi="zh-CN"/>
              </w:rPr>
              <w:t>单位</w:t>
            </w:r>
            <w:r>
              <w:rPr>
                <w:rFonts w:hint="eastAsia" w:ascii="黑体" w:hAnsi="黑体" w:eastAsia="黑体" w:cs="黑体"/>
                <w:b w:val="0"/>
                <w:bCs/>
                <w:color w:val="000007"/>
                <w:kern w:val="0"/>
                <w:sz w:val="24"/>
                <w:lang w:val="zh-CN" w:bidi="zh-CN"/>
              </w:rPr>
              <w:t>名称</w:t>
            </w:r>
          </w:p>
        </w:tc>
        <w:tc>
          <w:tcPr>
            <w:tcW w:w="4139" w:type="pct"/>
            <w:gridSpan w:val="3"/>
            <w:vAlign w:val="center"/>
          </w:tcPr>
          <w:p w14:paraId="5DD04F74">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hAnsi="Times New Roman" w:eastAsia="宋体" w:cs="Times New Roman"/>
                <w:kern w:val="0"/>
                <w:sz w:val="24"/>
                <w:lang w:val="zh-CN" w:bidi="zh-CN"/>
              </w:rPr>
            </w:pPr>
          </w:p>
        </w:tc>
      </w:tr>
      <w:tr w14:paraId="3D0EB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6AABB710">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kern w:val="0"/>
                <w:sz w:val="24"/>
                <w:lang w:val="zh-CN" w:bidi="zh-CN"/>
              </w:rPr>
            </w:pPr>
            <w:r>
              <w:rPr>
                <w:rFonts w:hint="eastAsia" w:ascii="黑体" w:hAnsi="黑体" w:eastAsia="黑体" w:cs="黑体"/>
                <w:b w:val="0"/>
                <w:bCs/>
                <w:color w:val="000007"/>
                <w:kern w:val="0"/>
                <w:sz w:val="24"/>
                <w:lang w:val="en-US" w:bidi="zh-CN"/>
              </w:rPr>
              <w:t>单位</w:t>
            </w:r>
            <w:r>
              <w:rPr>
                <w:rFonts w:hint="eastAsia" w:ascii="黑体" w:hAnsi="黑体" w:eastAsia="黑体" w:cs="黑体"/>
                <w:b w:val="0"/>
                <w:bCs/>
                <w:color w:val="000007"/>
                <w:kern w:val="0"/>
                <w:sz w:val="24"/>
                <w:lang w:val="zh-CN" w:bidi="zh-CN"/>
              </w:rPr>
              <w:t>地址</w:t>
            </w:r>
          </w:p>
        </w:tc>
        <w:tc>
          <w:tcPr>
            <w:tcW w:w="4139" w:type="pct"/>
            <w:gridSpan w:val="3"/>
            <w:vAlign w:val="center"/>
          </w:tcPr>
          <w:p w14:paraId="14665BFE">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hAnsi="Times New Roman" w:eastAsia="宋体" w:cs="Times New Roman"/>
                <w:kern w:val="0"/>
                <w:sz w:val="24"/>
                <w:lang w:val="zh-CN" w:bidi="zh-CN"/>
              </w:rPr>
            </w:pPr>
          </w:p>
        </w:tc>
      </w:tr>
      <w:tr w14:paraId="5010D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60" w:type="pct"/>
            <w:vAlign w:val="center"/>
          </w:tcPr>
          <w:p w14:paraId="4D7C8A4F">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kern w:val="0"/>
                <w:sz w:val="24"/>
                <w:lang w:val="en-US" w:bidi="zh-CN"/>
              </w:rPr>
            </w:pPr>
            <w:r>
              <w:rPr>
                <w:rFonts w:hint="eastAsia" w:ascii="黑体" w:hAnsi="黑体" w:eastAsia="黑体" w:cs="黑体"/>
                <w:b w:val="0"/>
                <w:bCs/>
                <w:color w:val="000007"/>
                <w:kern w:val="0"/>
                <w:sz w:val="24"/>
                <w:lang w:val="en-US" w:bidi="zh-CN"/>
              </w:rPr>
              <w:t>所属行业领域</w:t>
            </w:r>
          </w:p>
        </w:tc>
        <w:tc>
          <w:tcPr>
            <w:tcW w:w="4139" w:type="pct"/>
            <w:gridSpan w:val="3"/>
            <w:vAlign w:val="center"/>
          </w:tcPr>
          <w:p w14:paraId="498B76A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color w:val="000007"/>
                <w:kern w:val="0"/>
                <w:sz w:val="24"/>
                <w:lang w:val="en-US" w:bidi="zh-CN"/>
              </w:rPr>
              <w:t>智慧能源</w:t>
            </w: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交通运输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工业制造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医疗卫生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科学研究</w:t>
            </w:r>
          </w:p>
          <w:p w14:paraId="36D803BA">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绿色低碳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互联网与信息技术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 农业农村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城市治理</w:t>
            </w:r>
          </w:p>
          <w:p w14:paraId="7410B2D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b/>
                <w:bCs/>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公共安全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应急管理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自然资源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气象服务 </w:t>
            </w:r>
            <w:r>
              <w:rPr>
                <w:rFonts w:hint="eastAsia" w:ascii="Times New Roman" w:hAnsi="Times New Roman" w:eastAsia="宋体" w:cs="Times New Roman"/>
                <w:kern w:val="0"/>
                <w:sz w:val="24"/>
                <w:lang w:val="en-US" w:bidi="zh-CN"/>
              </w:rPr>
              <w:sym w:font="Wingdings" w:char="00A8"/>
            </w:r>
            <w:r>
              <w:rPr>
                <w:rFonts w:hint="eastAsia" w:ascii="Times New Roman" w:hAnsi="Times New Roman" w:eastAsia="宋体" w:cs="Times New Roman"/>
                <w:kern w:val="0"/>
                <w:sz w:val="24"/>
                <w:lang w:val="en-US" w:bidi="zh-CN"/>
              </w:rPr>
              <w:t>其他</w:t>
            </w:r>
            <w:r>
              <w:rPr>
                <w:rFonts w:hint="eastAsia" w:ascii="Times New Roman" w:hAnsi="Times New Roman" w:eastAsia="宋体" w:cs="Times New Roman"/>
                <w:kern w:val="0"/>
                <w:sz w:val="24"/>
                <w:u w:val="single"/>
                <w:lang w:val="en-US" w:bidi="zh-CN"/>
              </w:rPr>
              <w:t xml:space="preserve">        </w:t>
            </w:r>
          </w:p>
        </w:tc>
      </w:tr>
      <w:tr w14:paraId="0017B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60" w:type="pct"/>
            <w:vAlign w:val="center"/>
          </w:tcPr>
          <w:p w14:paraId="22FB4961">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color w:val="auto"/>
                <w:kern w:val="0"/>
                <w:sz w:val="24"/>
                <w:lang w:val="en-US" w:bidi="zh-CN"/>
              </w:rPr>
            </w:pPr>
            <w:r>
              <w:rPr>
                <w:rFonts w:hint="eastAsia" w:ascii="黑体" w:hAnsi="黑体" w:eastAsia="黑体" w:cs="黑体"/>
                <w:b w:val="0"/>
                <w:bCs/>
                <w:color w:val="000007"/>
                <w:kern w:val="0"/>
                <w:sz w:val="24"/>
                <w:lang w:val="en-US" w:bidi="zh-CN"/>
              </w:rPr>
              <w:t>单位性质</w:t>
            </w:r>
          </w:p>
        </w:tc>
        <w:tc>
          <w:tcPr>
            <w:tcW w:w="4139" w:type="pct"/>
            <w:gridSpan w:val="3"/>
            <w:vAlign w:val="center"/>
          </w:tcPr>
          <w:p w14:paraId="26B9C763">
            <w:pPr>
              <w:autoSpaceDE w:val="0"/>
              <w:autoSpaceDN w:val="0"/>
              <w:spacing w:before="155" w:line="360" w:lineRule="auto"/>
              <w:jc w:val="both"/>
              <w:rPr>
                <w:rFonts w:hint="default" w:ascii="Times New Roman" w:hAnsi="Times New Roman" w:eastAsia="宋体" w:cs="Times New Roman"/>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政府机构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国有企业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中外合资企业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社会组织机构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国际组织机构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外资企业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私营企业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事业单位 </w:t>
            </w:r>
            <w:r>
              <w:rPr>
                <w:rFonts w:hint="eastAsia" w:ascii="Times New Roman" w:hAnsi="Times New Roman" w:eastAsia="宋体" w:cs="Times New Roman"/>
                <w:kern w:val="0"/>
                <w:sz w:val="24"/>
                <w:lang w:val="en-US" w:bidi="zh-CN"/>
              </w:rPr>
              <w:sym w:font="Wingdings" w:char="00A8"/>
            </w:r>
            <w:r>
              <w:rPr>
                <w:rFonts w:hint="eastAsia" w:ascii="Times New Roman" w:hAnsi="Times New Roman" w:eastAsia="宋体" w:cs="Times New Roman"/>
                <w:kern w:val="0"/>
                <w:sz w:val="24"/>
                <w:lang w:val="en-US" w:bidi="zh-CN"/>
              </w:rPr>
              <w:t>其他________</w:t>
            </w:r>
          </w:p>
        </w:tc>
      </w:tr>
      <w:tr w14:paraId="0259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38F5D929">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kern w:val="0"/>
                <w:sz w:val="24"/>
                <w:lang w:val="zh-CN" w:bidi="zh-CN"/>
              </w:rPr>
            </w:pPr>
            <w:r>
              <w:rPr>
                <w:rFonts w:hint="eastAsia" w:ascii="黑体" w:hAnsi="黑体" w:eastAsia="黑体" w:cs="黑体"/>
                <w:b w:val="0"/>
                <w:bCs/>
                <w:color w:val="000007"/>
                <w:kern w:val="0"/>
                <w:sz w:val="24"/>
                <w:lang w:val="zh-CN" w:bidi="zh-CN"/>
              </w:rPr>
              <w:t>统一社会信用代码</w:t>
            </w:r>
          </w:p>
        </w:tc>
        <w:tc>
          <w:tcPr>
            <w:tcW w:w="4139" w:type="pct"/>
            <w:gridSpan w:val="3"/>
            <w:vAlign w:val="center"/>
          </w:tcPr>
          <w:p w14:paraId="5E61B194">
            <w:pPr>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宋体" w:cs="Times New Roman"/>
                <w:kern w:val="0"/>
                <w:sz w:val="24"/>
                <w:lang w:val="zh-CN" w:bidi="zh-CN"/>
              </w:rPr>
            </w:pPr>
          </w:p>
        </w:tc>
      </w:tr>
      <w:tr w14:paraId="31AD8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168E5FBD">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kern w:val="0"/>
                <w:sz w:val="24"/>
                <w:lang w:val="en-US" w:bidi="zh-CN"/>
              </w:rPr>
            </w:pPr>
            <w:r>
              <w:rPr>
                <w:rFonts w:hint="eastAsia" w:ascii="黑体" w:hAnsi="黑体" w:eastAsia="黑体" w:cs="黑体"/>
                <w:b w:val="0"/>
                <w:bCs/>
                <w:color w:val="000007"/>
                <w:kern w:val="0"/>
                <w:sz w:val="24"/>
                <w:lang w:val="en-US" w:bidi="zh-CN"/>
              </w:rPr>
              <w:t>联系人</w:t>
            </w:r>
          </w:p>
        </w:tc>
        <w:tc>
          <w:tcPr>
            <w:tcW w:w="4139" w:type="pct"/>
            <w:gridSpan w:val="3"/>
            <w:vAlign w:val="center"/>
          </w:tcPr>
          <w:p w14:paraId="34FEC232">
            <w:pPr>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宋体" w:cs="Times New Roman"/>
                <w:kern w:val="0"/>
                <w:sz w:val="24"/>
                <w:lang w:val="zh-CN" w:bidi="zh-CN"/>
              </w:rPr>
            </w:pPr>
          </w:p>
        </w:tc>
      </w:tr>
      <w:tr w14:paraId="4D087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5FFB4688">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kern w:val="0"/>
                <w:sz w:val="24"/>
                <w:lang w:val="en-US" w:bidi="zh-CN"/>
              </w:rPr>
            </w:pPr>
            <w:r>
              <w:rPr>
                <w:rFonts w:hint="eastAsia" w:ascii="黑体" w:hAnsi="黑体" w:eastAsia="黑体" w:cs="黑体"/>
                <w:b w:val="0"/>
                <w:bCs/>
                <w:color w:val="000007"/>
                <w:kern w:val="0"/>
                <w:sz w:val="24"/>
                <w:lang w:val="en-US" w:bidi="zh-CN"/>
              </w:rPr>
              <w:t>联系电话</w:t>
            </w:r>
          </w:p>
        </w:tc>
        <w:tc>
          <w:tcPr>
            <w:tcW w:w="4139" w:type="pct"/>
            <w:gridSpan w:val="3"/>
            <w:vAlign w:val="center"/>
          </w:tcPr>
          <w:p w14:paraId="6A6604E9">
            <w:pPr>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宋体" w:cs="Times New Roman"/>
                <w:kern w:val="0"/>
                <w:sz w:val="24"/>
                <w:lang w:val="zh-CN" w:bidi="zh-CN"/>
              </w:rPr>
            </w:pPr>
          </w:p>
        </w:tc>
      </w:tr>
      <w:tr w14:paraId="42FD6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shd w:val="clear" w:color="auto" w:fill="auto"/>
            <w:vAlign w:val="center"/>
          </w:tcPr>
          <w:p w14:paraId="3C3B59FC">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kern w:val="0"/>
                <w:sz w:val="24"/>
                <w:szCs w:val="22"/>
                <w:lang w:val="en-US" w:eastAsia="zh-CN" w:bidi="zh-CN"/>
              </w:rPr>
            </w:pPr>
            <w:r>
              <w:rPr>
                <w:rFonts w:hint="eastAsia" w:ascii="黑体" w:hAnsi="黑体" w:eastAsia="黑体" w:cs="黑体"/>
                <w:b w:val="0"/>
                <w:bCs/>
                <w:color w:val="000007"/>
                <w:kern w:val="0"/>
                <w:sz w:val="24"/>
                <w:lang w:val="en-US" w:bidi="zh-CN"/>
              </w:rPr>
              <w:t>计划接受评价时间</w:t>
            </w:r>
          </w:p>
        </w:tc>
        <w:tc>
          <w:tcPr>
            <w:tcW w:w="4139" w:type="pct"/>
            <w:gridSpan w:val="3"/>
            <w:shd w:val="clear" w:color="auto" w:fill="auto"/>
            <w:vAlign w:val="center"/>
          </w:tcPr>
          <w:p w14:paraId="1AAEE1C4">
            <w:pPr>
              <w:autoSpaceDE w:val="0"/>
              <w:autoSpaceDN w:val="0"/>
              <w:spacing w:before="9"/>
              <w:jc w:val="center"/>
              <w:rPr>
                <w:rFonts w:hint="eastAsia" w:ascii="Times New Roman" w:hAnsi="Times New Roman" w:eastAsia="宋体" w:cs="Times New Roman"/>
                <w:kern w:val="0"/>
                <w:sz w:val="25"/>
                <w:szCs w:val="22"/>
                <w:lang w:val="zh-CN" w:eastAsia="zh-CN" w:bidi="zh-CN"/>
              </w:rPr>
            </w:pPr>
          </w:p>
        </w:tc>
      </w:tr>
      <w:tr w14:paraId="39044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4"/>
            <w:shd w:val="clear" w:color="auto" w:fill="BEBEBE" w:themeFill="background1" w:themeFillShade="BF"/>
            <w:vAlign w:val="center"/>
          </w:tcPr>
          <w:p w14:paraId="2A4D4892">
            <w:pPr>
              <w:keepNext w:val="0"/>
              <w:keepLines w:val="0"/>
              <w:pageBreakBefore w:val="0"/>
              <w:widowControl w:val="0"/>
              <w:kinsoku/>
              <w:wordWrap/>
              <w:overflowPunct/>
              <w:topLinePunct w:val="0"/>
              <w:autoSpaceDE w:val="0"/>
              <w:autoSpaceDN w:val="0"/>
              <w:bidi w:val="0"/>
              <w:adjustRightInd/>
              <w:snapToGrid/>
              <w:spacing w:line="377" w:lineRule="exact"/>
              <w:ind w:left="0"/>
              <w:jc w:val="center"/>
              <w:textAlignment w:val="auto"/>
              <w:rPr>
                <w:rFonts w:ascii="Times New Roman" w:hAnsi="Times New Roman" w:eastAsia="宋体" w:cs="Times New Roman"/>
                <w:b/>
                <w:kern w:val="0"/>
                <w:sz w:val="24"/>
                <w:lang w:val="zh-CN" w:bidi="zh-CN"/>
              </w:rPr>
            </w:pPr>
            <w:r>
              <w:rPr>
                <w:rFonts w:hint="eastAsia" w:ascii="黑体" w:hAnsi="黑体" w:eastAsia="黑体" w:cs="黑体"/>
                <w:b w:val="0"/>
                <w:bCs/>
                <w:color w:val="000007"/>
                <w:kern w:val="0"/>
                <w:sz w:val="28"/>
                <w:szCs w:val="24"/>
                <w:lang w:val="en-US" w:bidi="zh-CN"/>
              </w:rPr>
              <w:t>二</w:t>
            </w:r>
            <w:r>
              <w:rPr>
                <w:rFonts w:hint="eastAsia" w:ascii="黑体" w:hAnsi="黑体" w:eastAsia="黑体" w:cs="黑体"/>
                <w:b w:val="0"/>
                <w:bCs/>
                <w:color w:val="000007"/>
                <w:kern w:val="0"/>
                <w:sz w:val="28"/>
                <w:szCs w:val="24"/>
                <w:lang w:val="zh-CN" w:bidi="zh-CN"/>
              </w:rPr>
              <w:t>、</w:t>
            </w:r>
            <w:r>
              <w:rPr>
                <w:rFonts w:hint="eastAsia" w:ascii="黑体" w:hAnsi="黑体" w:eastAsia="黑体" w:cs="黑体"/>
                <w:b w:val="0"/>
                <w:bCs/>
                <w:color w:val="000007"/>
                <w:kern w:val="0"/>
                <w:sz w:val="28"/>
                <w:szCs w:val="24"/>
                <w:lang w:val="en-US" w:bidi="zh-CN"/>
              </w:rPr>
              <w:t>数据集基本</w:t>
            </w:r>
            <w:r>
              <w:rPr>
                <w:rFonts w:hint="eastAsia" w:ascii="黑体" w:hAnsi="黑体" w:eastAsia="黑体" w:cs="黑体"/>
                <w:b w:val="0"/>
                <w:bCs/>
                <w:color w:val="000007"/>
                <w:kern w:val="0"/>
                <w:sz w:val="28"/>
                <w:szCs w:val="24"/>
                <w:lang w:val="zh-CN" w:bidi="zh-CN"/>
              </w:rPr>
              <w:t>信息</w:t>
            </w:r>
          </w:p>
        </w:tc>
      </w:tr>
      <w:tr w14:paraId="2E17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261375D9">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数据集名称</w:t>
            </w:r>
          </w:p>
        </w:tc>
        <w:tc>
          <w:tcPr>
            <w:tcW w:w="4139" w:type="pct"/>
            <w:gridSpan w:val="3"/>
            <w:vAlign w:val="center"/>
          </w:tcPr>
          <w:p w14:paraId="265A60EA">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b w:val="0"/>
                <w:bCs w:val="0"/>
                <w:kern w:val="0"/>
                <w:sz w:val="24"/>
                <w:lang w:val="zh-CN" w:bidi="zh-CN"/>
              </w:rPr>
            </w:pPr>
          </w:p>
        </w:tc>
      </w:tr>
      <w:tr w14:paraId="7D04E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051868CB">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数据集整体</w:t>
            </w:r>
            <w:bookmarkStart w:id="0" w:name="_GoBack"/>
            <w:bookmarkEnd w:id="0"/>
            <w:r>
              <w:rPr>
                <w:rFonts w:hint="eastAsia" w:ascii="黑体" w:hAnsi="黑体" w:eastAsia="黑体" w:cs="黑体"/>
                <w:b w:val="0"/>
                <w:bCs/>
                <w:color w:val="000007"/>
                <w:kern w:val="0"/>
                <w:sz w:val="24"/>
                <w:lang w:val="en-US" w:bidi="zh-CN"/>
              </w:rPr>
              <w:t>描述</w:t>
            </w:r>
          </w:p>
        </w:tc>
        <w:tc>
          <w:tcPr>
            <w:tcW w:w="4139" w:type="pct"/>
            <w:gridSpan w:val="3"/>
            <w:vAlign w:val="center"/>
          </w:tcPr>
          <w:p w14:paraId="4DE0A575">
            <w:pPr>
              <w:rPr>
                <w:rFonts w:hint="eastAsia" w:ascii="Times New Roman" w:hAnsi="Times New Roman" w:eastAsia="宋体" w:cs="Times New Roman"/>
                <w:b w:val="0"/>
                <w:bCs w:val="0"/>
                <w:kern w:val="0"/>
                <w:sz w:val="24"/>
                <w:lang w:val="zh-CN" w:bidi="zh-CN"/>
              </w:rPr>
            </w:pPr>
            <w:r>
              <w:rPr>
                <w:rFonts w:hint="eastAsia" w:ascii="宋体" w:hAnsi="Times New Roman" w:eastAsia="宋体" w:cs="Times New Roman"/>
                <w:i/>
                <w:iCs/>
                <w:color w:val="7F7F7F"/>
                <w:spacing w:val="-1"/>
                <w:kern w:val="0"/>
                <w:sz w:val="24"/>
                <w:szCs w:val="24"/>
                <w:lang w:val="en-US" w:eastAsia="zh-CN"/>
              </w:rPr>
              <w:t>例：</w:t>
            </w:r>
            <w:r>
              <w:rPr>
                <w:rFonts w:hint="eastAsia" w:ascii="宋体" w:hAnsi="Times New Roman" w:eastAsia="宋体" w:cs="Times New Roman"/>
                <w:i/>
                <w:iCs/>
                <w:color w:val="7F7F7F"/>
                <w:spacing w:val="-1"/>
                <w:kern w:val="0"/>
                <w:sz w:val="24"/>
                <w:szCs w:val="24"/>
                <w:lang w:val="zh-CN" w:eastAsia="zh-CN"/>
              </w:rPr>
              <w:t>该数据集采集于</w:t>
            </w:r>
            <w:r>
              <w:rPr>
                <w:rFonts w:hint="eastAsia" w:ascii="宋体" w:hAnsi="Times New Roman" w:eastAsia="宋体" w:cs="Times New Roman"/>
                <w:i/>
                <w:iCs/>
                <w:color w:val="7F7F7F"/>
                <w:spacing w:val="-1"/>
                <w:kern w:val="0"/>
                <w:sz w:val="24"/>
                <w:szCs w:val="24"/>
                <w:u w:val="single"/>
                <w:lang w:val="en-US" w:eastAsia="zh-CN"/>
              </w:rPr>
              <w:t xml:space="preserve">     </w:t>
            </w:r>
            <w:r>
              <w:rPr>
                <w:rFonts w:hint="eastAsia" w:ascii="宋体" w:hAnsi="Times New Roman" w:eastAsia="宋体" w:cs="Times New Roman"/>
                <w:i/>
                <w:iCs/>
                <w:color w:val="7F7F7F"/>
                <w:spacing w:val="-1"/>
                <w:kern w:val="0"/>
                <w:sz w:val="24"/>
                <w:szCs w:val="24"/>
                <w:lang w:val="zh-CN" w:eastAsia="zh-CN"/>
              </w:rPr>
              <w:t>时间段，覆盖</w:t>
            </w:r>
            <w:r>
              <w:rPr>
                <w:rFonts w:hint="eastAsia" w:ascii="宋体" w:hAnsi="Times New Roman" w:eastAsia="宋体" w:cs="Times New Roman"/>
                <w:i/>
                <w:iCs/>
                <w:color w:val="7F7F7F"/>
                <w:spacing w:val="-1"/>
                <w:kern w:val="0"/>
                <w:sz w:val="24"/>
                <w:szCs w:val="24"/>
                <w:u w:val="single"/>
                <w:lang w:val="en-US" w:eastAsia="zh-CN"/>
              </w:rPr>
              <w:t xml:space="preserve">     </w:t>
            </w:r>
            <w:r>
              <w:rPr>
                <w:rFonts w:hint="eastAsia" w:ascii="宋体" w:hAnsi="Times New Roman" w:eastAsia="宋体" w:cs="Times New Roman"/>
                <w:i/>
                <w:iCs/>
                <w:color w:val="7F7F7F"/>
                <w:spacing w:val="-1"/>
                <w:kern w:val="0"/>
                <w:sz w:val="24"/>
                <w:szCs w:val="24"/>
                <w:lang w:val="zh-CN" w:eastAsia="zh-CN"/>
              </w:rPr>
              <w:t>领域，核心字段有</w:t>
            </w:r>
            <w:r>
              <w:rPr>
                <w:rFonts w:hint="eastAsia"/>
                <w:u w:val="single"/>
                <w:lang w:val="en-US" w:eastAsia="zh-CN"/>
              </w:rPr>
              <w:t xml:space="preserve">     </w:t>
            </w:r>
            <w:r>
              <w:rPr>
                <w:rFonts w:hint="eastAsia" w:ascii="宋体" w:hAnsi="Times New Roman" w:eastAsia="宋体" w:cs="Times New Roman"/>
                <w:i/>
                <w:iCs/>
                <w:color w:val="7F7F7F"/>
                <w:spacing w:val="-1"/>
                <w:kern w:val="0"/>
                <w:sz w:val="24"/>
                <w:szCs w:val="24"/>
                <w:lang w:val="zh-CN" w:eastAsia="zh-CN"/>
              </w:rPr>
              <w:t>等，应用于</w:t>
            </w:r>
            <w:r>
              <w:rPr>
                <w:rFonts w:hint="eastAsia"/>
                <w:u w:val="single"/>
                <w:lang w:val="en-US" w:eastAsia="zh-CN"/>
              </w:rPr>
              <w:t xml:space="preserve">     </w:t>
            </w:r>
            <w:r>
              <w:rPr>
                <w:rFonts w:hint="eastAsia" w:ascii="宋体" w:hAnsi="Times New Roman" w:eastAsia="宋体" w:cs="Times New Roman"/>
                <w:i/>
                <w:iCs/>
                <w:color w:val="7F7F7F"/>
                <w:spacing w:val="-1"/>
                <w:kern w:val="0"/>
                <w:sz w:val="24"/>
                <w:szCs w:val="24"/>
                <w:lang w:val="zh-CN" w:eastAsia="zh-CN"/>
              </w:rPr>
              <w:t>等场景。数据来源于</w:t>
            </w:r>
            <w:r>
              <w:rPr>
                <w:rFonts w:hint="eastAsia"/>
                <w:u w:val="single"/>
                <w:lang w:val="en-US" w:eastAsia="zh-CN"/>
              </w:rPr>
              <w:t xml:space="preserve">     </w:t>
            </w:r>
            <w:r>
              <w:rPr>
                <w:rFonts w:hint="eastAsia" w:ascii="宋体" w:hAnsi="Times New Roman" w:eastAsia="宋体" w:cs="Times New Roman"/>
                <w:i/>
                <w:iCs/>
                <w:color w:val="7F7F7F"/>
                <w:spacing w:val="-1"/>
                <w:kern w:val="0"/>
                <w:sz w:val="24"/>
                <w:szCs w:val="24"/>
                <w:lang w:val="zh-CN" w:eastAsia="zh-CN"/>
              </w:rPr>
              <w:t>，经过</w:t>
            </w:r>
            <w:r>
              <w:rPr>
                <w:rFonts w:hint="eastAsia"/>
                <w:u w:val="single"/>
                <w:lang w:val="en-US" w:eastAsia="zh-CN"/>
              </w:rPr>
              <w:t xml:space="preserve">     </w:t>
            </w:r>
            <w:r>
              <w:rPr>
                <w:rFonts w:hint="eastAsia" w:ascii="宋体" w:hAnsi="Times New Roman" w:eastAsia="宋体" w:cs="Times New Roman"/>
                <w:i/>
                <w:iCs/>
                <w:color w:val="7F7F7F"/>
                <w:spacing w:val="-1"/>
                <w:kern w:val="0"/>
                <w:sz w:val="24"/>
                <w:szCs w:val="24"/>
                <w:lang w:val="zh-CN" w:eastAsia="zh-CN"/>
              </w:rPr>
              <w:t>等清洗与</w:t>
            </w:r>
            <w:r>
              <w:rPr>
                <w:rFonts w:hint="eastAsia" w:ascii="宋体" w:hAnsi="Times New Roman" w:eastAsia="宋体" w:cs="Times New Roman"/>
                <w:i/>
                <w:iCs/>
                <w:color w:val="7F7F7F"/>
                <w:spacing w:val="-1"/>
                <w:kern w:val="0"/>
                <w:sz w:val="24"/>
                <w:szCs w:val="24"/>
                <w:lang w:val="en-US" w:eastAsia="zh-CN"/>
              </w:rPr>
              <w:t>处理</w:t>
            </w:r>
            <w:r>
              <w:rPr>
                <w:rFonts w:hint="eastAsia" w:ascii="宋体" w:hAnsi="Times New Roman" w:eastAsia="宋体" w:cs="Times New Roman"/>
                <w:i/>
                <w:iCs/>
                <w:color w:val="7F7F7F"/>
                <w:spacing w:val="-1"/>
                <w:kern w:val="0"/>
                <w:sz w:val="24"/>
                <w:szCs w:val="24"/>
                <w:lang w:val="zh-CN" w:eastAsia="zh-CN"/>
              </w:rPr>
              <w:t>流程，具备</w:t>
            </w:r>
            <w:r>
              <w:rPr>
                <w:rFonts w:hint="eastAsia"/>
                <w:u w:val="single"/>
                <w:lang w:val="en-US" w:eastAsia="zh-CN"/>
              </w:rPr>
              <w:t xml:space="preserve">     </w:t>
            </w:r>
            <w:r>
              <w:rPr>
                <w:rFonts w:hint="eastAsia" w:ascii="宋体" w:hAnsi="Times New Roman" w:eastAsia="宋体" w:cs="Times New Roman"/>
                <w:i/>
                <w:iCs/>
                <w:color w:val="7F7F7F"/>
                <w:spacing w:val="-1"/>
                <w:kern w:val="0"/>
                <w:sz w:val="24"/>
                <w:szCs w:val="24"/>
                <w:lang w:val="zh-CN" w:eastAsia="zh-CN"/>
              </w:rPr>
              <w:t>等特征。</w:t>
            </w:r>
          </w:p>
        </w:tc>
      </w:tr>
      <w:tr w14:paraId="1EAA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1F33A52E">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数据集类型</w:t>
            </w:r>
          </w:p>
        </w:tc>
        <w:tc>
          <w:tcPr>
            <w:tcW w:w="4139" w:type="pct"/>
            <w:gridSpan w:val="3"/>
            <w:vAlign w:val="center"/>
          </w:tcPr>
          <w:p w14:paraId="1572A09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b w:val="0"/>
                <w:bCs w:val="0"/>
                <w:kern w:val="0"/>
                <w:sz w:val="24"/>
                <w:lang w:val="zh-CN"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通识数据集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行业通识数据集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行业专识数据集 </w:t>
            </w:r>
            <w:r>
              <w:rPr>
                <w:rFonts w:hint="eastAsia" w:ascii="Times New Roman" w:hAnsi="Times New Roman" w:eastAsia="宋体" w:cs="Times New Roman"/>
                <w:kern w:val="0"/>
                <w:sz w:val="24"/>
                <w:lang w:val="en-US" w:bidi="zh-CN"/>
              </w:rPr>
              <w:sym w:font="Wingdings" w:char="00A8"/>
            </w:r>
            <w:r>
              <w:rPr>
                <w:rFonts w:hint="eastAsia" w:ascii="Times New Roman" w:hAnsi="Times New Roman" w:eastAsia="宋体" w:cs="Times New Roman"/>
                <w:kern w:val="0"/>
                <w:sz w:val="24"/>
                <w:lang w:val="en-US" w:bidi="zh-CN"/>
              </w:rPr>
              <w:t>其他</w:t>
            </w:r>
            <w:r>
              <w:rPr>
                <w:rFonts w:hint="eastAsia" w:ascii="Times New Roman" w:hAnsi="Times New Roman" w:eastAsia="宋体" w:cs="Times New Roman"/>
                <w:kern w:val="0"/>
                <w:sz w:val="24"/>
                <w:u w:val="single"/>
                <w:lang w:val="en-US" w:bidi="zh-CN"/>
              </w:rPr>
              <w:t xml:space="preserve">       </w:t>
            </w:r>
          </w:p>
        </w:tc>
      </w:tr>
      <w:tr w14:paraId="7B499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103C0ED9">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数据集存储</w:t>
            </w:r>
          </w:p>
          <w:p w14:paraId="6E914B26">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格式</w:t>
            </w:r>
          </w:p>
        </w:tc>
        <w:tc>
          <w:tcPr>
            <w:tcW w:w="4139" w:type="pct"/>
            <w:gridSpan w:val="3"/>
            <w:vAlign w:val="center"/>
          </w:tcPr>
          <w:p w14:paraId="2FFDE075">
            <w:pPr>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imes New Roman" w:hAnsi="Times New Roman" w:eastAsia="宋体" w:cs="Times New Roman"/>
                <w:b w:val="0"/>
                <w:bCs w:val="0"/>
                <w:kern w:val="0"/>
                <w:sz w:val="24"/>
                <w:lang w:val="zh-CN" w:bidi="zh-CN"/>
              </w:rPr>
            </w:pPr>
            <w:r>
              <w:rPr>
                <w:rFonts w:ascii="Times New Roman" w:hAnsi="Times New Roman" w:eastAsia="宋体" w:cs="Times New Roman"/>
                <w:kern w:val="0"/>
                <w:sz w:val="24"/>
                <w:lang w:val="zh-CN" w:bidi="zh-CN"/>
              </w:rPr>
              <w:sym w:font="Wingdings" w:char="00A8"/>
            </w:r>
            <w:r>
              <w:rPr>
                <w:rFonts w:ascii="宋体" w:hAnsi="宋体" w:eastAsia="宋体" w:cs="宋体"/>
                <w:sz w:val="24"/>
                <w:szCs w:val="24"/>
              </w:rPr>
              <w:t xml:space="preserve">MySQL </w:t>
            </w:r>
            <w:r>
              <w:rPr>
                <w:rFonts w:ascii="Times New Roman" w:hAnsi="Times New Roman" w:eastAsia="宋体" w:cs="Times New Roman"/>
                <w:kern w:val="0"/>
                <w:sz w:val="24"/>
                <w:lang w:val="zh-CN" w:bidi="zh-CN"/>
              </w:rPr>
              <w:sym w:font="Wingdings" w:char="00A8"/>
            </w:r>
            <w:r>
              <w:rPr>
                <w:rFonts w:ascii="宋体" w:hAnsi="宋体" w:eastAsia="宋体" w:cs="宋体"/>
                <w:sz w:val="24"/>
                <w:szCs w:val="24"/>
              </w:rPr>
              <w:t xml:space="preserve">Starrocks </w:t>
            </w:r>
            <w:r>
              <w:rPr>
                <w:rFonts w:ascii="Times New Roman" w:hAnsi="Times New Roman" w:eastAsia="宋体" w:cs="Times New Roman"/>
                <w:kern w:val="0"/>
                <w:sz w:val="24"/>
                <w:lang w:val="zh-CN" w:bidi="zh-CN"/>
              </w:rPr>
              <w:sym w:font="Wingdings" w:char="00A8"/>
            </w:r>
            <w:r>
              <w:rPr>
                <w:rFonts w:ascii="宋体" w:hAnsi="宋体" w:eastAsia="宋体" w:cs="宋体"/>
                <w:sz w:val="24"/>
                <w:szCs w:val="24"/>
              </w:rPr>
              <w:t xml:space="preserve">PostgreSQL </w:t>
            </w:r>
            <w:r>
              <w:rPr>
                <w:rFonts w:ascii="Times New Roman" w:hAnsi="Times New Roman" w:eastAsia="宋体" w:cs="Times New Roman"/>
                <w:kern w:val="0"/>
                <w:sz w:val="24"/>
                <w:lang w:val="zh-CN" w:bidi="zh-CN"/>
              </w:rPr>
              <w:sym w:font="Wingdings" w:char="00A8"/>
            </w:r>
            <w:r>
              <w:rPr>
                <w:rFonts w:ascii="宋体" w:hAnsi="宋体" w:eastAsia="宋体" w:cs="宋体"/>
                <w:sz w:val="24"/>
                <w:szCs w:val="24"/>
              </w:rPr>
              <w:t xml:space="preserve">CSV </w:t>
            </w:r>
            <w:r>
              <w:rPr>
                <w:rFonts w:ascii="Times New Roman" w:hAnsi="Times New Roman" w:eastAsia="宋体" w:cs="Times New Roman"/>
                <w:kern w:val="0"/>
                <w:sz w:val="24"/>
                <w:lang w:val="zh-CN" w:bidi="zh-CN"/>
              </w:rPr>
              <w:sym w:font="Wingdings" w:char="00A8"/>
            </w:r>
            <w:r>
              <w:rPr>
                <w:rFonts w:ascii="宋体" w:hAnsi="宋体" w:eastAsia="宋体" w:cs="宋体"/>
                <w:sz w:val="24"/>
                <w:szCs w:val="24"/>
              </w:rPr>
              <w:t xml:space="preserve">XLSX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其他</w:t>
            </w:r>
            <w:r>
              <w:rPr>
                <w:rFonts w:hint="eastAsia" w:ascii="Times New Roman" w:hAnsi="Times New Roman" w:eastAsia="宋体" w:cs="Times New Roman"/>
                <w:kern w:val="0"/>
                <w:sz w:val="24"/>
                <w:u w:val="single"/>
                <w:lang w:val="en-US" w:bidi="zh-CN"/>
              </w:rPr>
              <w:t xml:space="preserve">       </w:t>
            </w:r>
          </w:p>
        </w:tc>
      </w:tr>
      <w:tr w14:paraId="05F94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1D0C97F3">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数据集规模</w:t>
            </w:r>
          </w:p>
        </w:tc>
        <w:tc>
          <w:tcPr>
            <w:tcW w:w="1732" w:type="pct"/>
            <w:vAlign w:val="center"/>
          </w:tcPr>
          <w:p w14:paraId="3A4827C0">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cs="Times New Roman"/>
                <w:kern w:val="0"/>
                <w:sz w:val="24"/>
                <w:lang w:val="en-US" w:bidi="zh-CN"/>
              </w:rPr>
            </w:pPr>
            <w:r>
              <w:rPr>
                <w:rFonts w:hint="eastAsia" w:ascii="Times New Roman" w:hAnsi="Times New Roman" w:eastAsia="宋体" w:cs="Times New Roman"/>
                <w:kern w:val="0"/>
                <w:sz w:val="24"/>
                <w:lang w:val="en-US" w:bidi="zh-CN"/>
              </w:rPr>
              <w:t>样本数量_______（条/个）</w:t>
            </w:r>
          </w:p>
        </w:tc>
        <w:tc>
          <w:tcPr>
            <w:tcW w:w="2406" w:type="pct"/>
            <w:gridSpan w:val="2"/>
            <w:vAlign w:val="center"/>
          </w:tcPr>
          <w:p w14:paraId="74553AEB">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imes New Roman" w:hAnsi="Times New Roman" w:eastAsia="宋体" w:cs="Times New Roman"/>
                <w:kern w:val="0"/>
                <w:sz w:val="24"/>
                <w:lang w:val="en-US" w:bidi="zh-CN"/>
              </w:rPr>
            </w:pPr>
            <w:r>
              <w:rPr>
                <w:rFonts w:hint="eastAsia" w:ascii="Times New Roman" w:hAnsi="Times New Roman" w:eastAsia="宋体" w:cs="Times New Roman"/>
                <w:kern w:val="0"/>
                <w:sz w:val="24"/>
                <w:lang w:val="en-US" w:bidi="zh-CN"/>
              </w:rPr>
              <w:t>存储体积_______（TB/GB/MB）</w:t>
            </w:r>
          </w:p>
        </w:tc>
      </w:tr>
      <w:tr w14:paraId="0DA0D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860" w:type="pct"/>
            <w:vAlign w:val="center"/>
          </w:tcPr>
          <w:p w14:paraId="13D6D00C">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数据模态</w:t>
            </w:r>
          </w:p>
          <w:p w14:paraId="048C660F">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Times New Roman" w:hAnsi="Times New Roman" w:eastAsia="宋体" w:cs="Times New Roman"/>
                <w:b/>
                <w:bCs/>
                <w:kern w:val="0"/>
                <w:sz w:val="24"/>
                <w:lang w:val="en-US" w:bidi="zh-CN"/>
              </w:rPr>
            </w:pPr>
            <w:r>
              <w:rPr>
                <w:rFonts w:hint="eastAsia" w:ascii="黑体" w:hAnsi="黑体" w:eastAsia="黑体" w:cs="黑体"/>
                <w:b w:val="0"/>
                <w:bCs/>
                <w:color w:val="000007"/>
                <w:kern w:val="0"/>
                <w:sz w:val="24"/>
                <w:lang w:val="en-US" w:bidi="zh-CN"/>
              </w:rPr>
              <w:t>（可多选）</w:t>
            </w:r>
          </w:p>
        </w:tc>
        <w:tc>
          <w:tcPr>
            <w:tcW w:w="4139" w:type="pct"/>
            <w:gridSpan w:val="3"/>
            <w:vAlign w:val="center"/>
          </w:tcPr>
          <w:p w14:paraId="2B1620E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文本</w:t>
            </w: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结构化数据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视频</w:t>
            </w: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音频</w:t>
            </w: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图像</w:t>
            </w: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3D点云</w:t>
            </w: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时序</w:t>
            </w:r>
            <w:r>
              <w:rPr>
                <w:rFonts w:hint="eastAsia" w:ascii="Times New Roman" w:hAnsi="Times New Roman" w:eastAsia="宋体" w:cs="Times New Roman"/>
                <w:kern w:val="0"/>
                <w:sz w:val="24"/>
                <w:lang w:val="en-US" w:bidi="zh-CN"/>
              </w:rPr>
              <w:t>数据</w:t>
            </w:r>
          </w:p>
          <w:p w14:paraId="58C6C53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kern w:val="0"/>
                <w:sz w:val="25"/>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思维链条</w:t>
            </w: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大模型对话</w:t>
            </w:r>
            <w:r>
              <w:rPr>
                <w:rFonts w:hint="eastAsia" w:ascii="Times New Roman" w:hAnsi="Times New Roman" w:eastAsia="宋体" w:cs="Times New Roman"/>
                <w:kern w:val="0"/>
                <w:sz w:val="24"/>
                <w:lang w:val="en-US" w:bidi="zh-CN"/>
              </w:rPr>
              <w:t xml:space="preserve"> </w:t>
            </w:r>
            <w:r>
              <w:rPr>
                <w:rFonts w:hint="eastAsia" w:ascii="Times New Roman" w:hAnsi="Times New Roman" w:eastAsia="宋体" w:cs="Times New Roman"/>
                <w:kern w:val="0"/>
                <w:sz w:val="24"/>
                <w:lang w:val="en-US" w:bidi="zh-CN"/>
              </w:rPr>
              <w:sym w:font="Wingdings" w:char="00A8"/>
            </w:r>
            <w:r>
              <w:rPr>
                <w:rFonts w:hint="eastAsia" w:ascii="Times New Roman" w:hAnsi="Times New Roman" w:eastAsia="宋体" w:cs="Times New Roman"/>
                <w:kern w:val="0"/>
                <w:sz w:val="24"/>
                <w:lang w:val="en-US" w:bidi="zh-CN"/>
              </w:rPr>
              <w:t>其他_______</w:t>
            </w:r>
          </w:p>
        </w:tc>
      </w:tr>
      <w:tr w14:paraId="395D4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652F0C1D">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采集时间范围</w:t>
            </w:r>
          </w:p>
        </w:tc>
        <w:tc>
          <w:tcPr>
            <w:tcW w:w="1732" w:type="pct"/>
            <w:vAlign w:val="center"/>
          </w:tcPr>
          <w:p w14:paraId="0AED0175">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ascii="Times New Roman" w:hAnsi="Times New Roman" w:eastAsia="宋体" w:cs="Times New Roman"/>
                <w:kern w:val="0"/>
                <w:sz w:val="24"/>
                <w:lang w:val="zh-CN" w:bidi="zh-CN"/>
              </w:rPr>
            </w:pPr>
          </w:p>
        </w:tc>
        <w:tc>
          <w:tcPr>
            <w:tcW w:w="986" w:type="pct"/>
            <w:vAlign w:val="center"/>
          </w:tcPr>
          <w:p w14:paraId="191B627C">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color w:val="000007"/>
                <w:kern w:val="0"/>
                <w:sz w:val="24"/>
                <w:lang w:val="zh-CN" w:bidi="zh-CN"/>
              </w:rPr>
            </w:pPr>
            <w:r>
              <w:rPr>
                <w:rFonts w:hint="eastAsia" w:ascii="黑体" w:hAnsi="黑体" w:eastAsia="黑体" w:cs="黑体"/>
                <w:b w:val="0"/>
                <w:bCs/>
                <w:color w:val="000007"/>
                <w:kern w:val="0"/>
                <w:sz w:val="24"/>
                <w:lang w:val="zh-CN" w:bidi="zh-CN"/>
              </w:rPr>
              <w:t>更新频率</w:t>
            </w:r>
          </w:p>
        </w:tc>
        <w:tc>
          <w:tcPr>
            <w:tcW w:w="1420" w:type="pct"/>
            <w:vAlign w:val="center"/>
          </w:tcPr>
          <w:p w14:paraId="184ABB9A">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ascii="Times New Roman" w:hAnsi="Times New Roman" w:eastAsia="宋体" w:cs="Times New Roman"/>
                <w:kern w:val="0"/>
                <w:sz w:val="24"/>
                <w:lang w:val="zh-CN" w:bidi="zh-CN"/>
              </w:rPr>
            </w:pPr>
          </w:p>
        </w:tc>
      </w:tr>
      <w:tr w14:paraId="1F88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vAlign w:val="center"/>
          </w:tcPr>
          <w:p w14:paraId="336D4124">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是否已标注</w:t>
            </w:r>
          </w:p>
        </w:tc>
        <w:tc>
          <w:tcPr>
            <w:tcW w:w="1732" w:type="pct"/>
            <w:vAlign w:val="center"/>
          </w:tcPr>
          <w:p w14:paraId="43F094F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是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否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部分标注</w:t>
            </w:r>
          </w:p>
        </w:tc>
        <w:tc>
          <w:tcPr>
            <w:tcW w:w="986" w:type="pct"/>
            <w:vAlign w:val="center"/>
          </w:tcPr>
          <w:p w14:paraId="4DB0A034">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黑体" w:hAnsi="黑体" w:eastAsia="黑体" w:cs="黑体"/>
                <w:b w:val="0"/>
                <w:bCs/>
                <w:color w:val="000007"/>
                <w:kern w:val="0"/>
                <w:sz w:val="24"/>
                <w:lang w:val="zh-CN" w:bidi="zh-CN"/>
              </w:rPr>
            </w:pPr>
            <w:r>
              <w:rPr>
                <w:rFonts w:hint="eastAsia" w:ascii="黑体" w:hAnsi="黑体" w:eastAsia="黑体" w:cs="黑体"/>
                <w:b w:val="0"/>
                <w:bCs/>
                <w:color w:val="000007"/>
                <w:kern w:val="0"/>
                <w:sz w:val="24"/>
                <w:lang w:val="zh-CN" w:bidi="zh-CN"/>
              </w:rPr>
              <w:t>标注规范是否明确</w:t>
            </w:r>
          </w:p>
        </w:tc>
        <w:tc>
          <w:tcPr>
            <w:tcW w:w="1420" w:type="pct"/>
            <w:vAlign w:val="center"/>
          </w:tcPr>
          <w:p w14:paraId="240D609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kern w:val="0"/>
                <w:sz w:val="24"/>
                <w:lang w:val="zh-CN"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是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否</w:t>
            </w:r>
          </w:p>
        </w:tc>
      </w:tr>
      <w:tr w14:paraId="6342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shd w:val="clear" w:color="auto" w:fill="auto"/>
            <w:vAlign w:val="center"/>
          </w:tcPr>
          <w:p w14:paraId="32F44C03">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是否提交</w:t>
            </w:r>
          </w:p>
          <w:p w14:paraId="6EEF453B">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Times New Roman" w:hAnsi="Times New Roman" w:eastAsia="宋体" w:cs="Times New Roman"/>
                <w:b/>
                <w:bCs/>
                <w:kern w:val="0"/>
                <w:sz w:val="24"/>
                <w:szCs w:val="22"/>
                <w:lang w:val="en-US" w:eastAsia="zh-CN" w:bidi="zh-CN"/>
              </w:rPr>
            </w:pPr>
            <w:r>
              <w:rPr>
                <w:rFonts w:hint="eastAsia" w:ascii="黑体" w:hAnsi="黑体" w:eastAsia="黑体" w:cs="黑体"/>
                <w:b w:val="0"/>
                <w:bCs/>
                <w:color w:val="000007"/>
                <w:kern w:val="0"/>
                <w:sz w:val="24"/>
                <w:lang w:val="en-US" w:bidi="zh-CN"/>
              </w:rPr>
              <w:t>数据集样例</w:t>
            </w:r>
          </w:p>
        </w:tc>
        <w:tc>
          <w:tcPr>
            <w:tcW w:w="4139" w:type="pct"/>
            <w:gridSpan w:val="3"/>
            <w:shd w:val="clear" w:color="auto" w:fill="auto"/>
            <w:vAlign w:val="center"/>
          </w:tcPr>
          <w:p w14:paraId="042C471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imes New Roman"/>
                <w:kern w:val="0"/>
                <w:sz w:val="25"/>
                <w:szCs w:val="22"/>
                <w:u w:val="single"/>
                <w:lang w:val="zh-CN" w:eastAsia="zh-CN"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是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否</w:t>
            </w:r>
            <w:r>
              <w:rPr>
                <w:rFonts w:hint="eastAsia" w:ascii="宋体" w:hAnsi="Times New Roman" w:eastAsia="宋体" w:cs="Times New Roman"/>
                <w:i/>
                <w:iCs/>
                <w:color w:val="7F7F7F"/>
                <w:spacing w:val="-1"/>
                <w:kern w:val="0"/>
                <w:sz w:val="24"/>
                <w:szCs w:val="24"/>
                <w:lang w:val="en-US" w:eastAsia="zh-CN"/>
              </w:rPr>
              <w:t>（以单独附件形式</w:t>
            </w:r>
            <w:r>
              <w:rPr>
                <w:rFonts w:hint="eastAsia" w:ascii="宋体" w:hAnsi="Times New Roman" w:eastAsia="宋体" w:cs="Times New Roman"/>
                <w:i/>
                <w:iCs/>
                <w:color w:val="7F7F7F"/>
                <w:spacing w:val="-1"/>
                <w:kern w:val="0"/>
                <w:sz w:val="24"/>
                <w:szCs w:val="24"/>
                <w:lang w:val="zh-CN" w:eastAsia="zh-CN"/>
              </w:rPr>
              <w:t>至少提供100条样本供初步评估）</w:t>
            </w:r>
          </w:p>
        </w:tc>
      </w:tr>
      <w:tr w14:paraId="4281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4"/>
            <w:shd w:val="clear" w:color="auto" w:fill="CFCECE" w:themeFill="background2" w:themeFillShade="E5"/>
            <w:vAlign w:val="center"/>
          </w:tcPr>
          <w:p w14:paraId="316EA869">
            <w:pPr>
              <w:keepNext w:val="0"/>
              <w:keepLines w:val="0"/>
              <w:pageBreakBefore w:val="0"/>
              <w:widowControl w:val="0"/>
              <w:kinsoku/>
              <w:wordWrap/>
              <w:overflowPunct/>
              <w:topLinePunct w:val="0"/>
              <w:autoSpaceDE w:val="0"/>
              <w:autoSpaceDN w:val="0"/>
              <w:bidi w:val="0"/>
              <w:adjustRightInd/>
              <w:snapToGrid/>
              <w:spacing w:line="377" w:lineRule="exact"/>
              <w:ind w:left="0"/>
              <w:jc w:val="center"/>
              <w:textAlignment w:val="auto"/>
              <w:rPr>
                <w:rFonts w:hint="default" w:ascii="Times New Roman" w:hAnsi="Times New Roman" w:eastAsia="宋体" w:cs="Times New Roman"/>
                <w:kern w:val="0"/>
                <w:sz w:val="24"/>
                <w:lang w:val="en-US" w:bidi="zh-CN"/>
              </w:rPr>
            </w:pPr>
            <w:r>
              <w:rPr>
                <w:rFonts w:hint="eastAsia" w:ascii="黑体" w:hAnsi="黑体" w:eastAsia="黑体" w:cs="黑体"/>
                <w:b w:val="0"/>
                <w:bCs/>
                <w:color w:val="000007"/>
                <w:kern w:val="0"/>
                <w:sz w:val="28"/>
                <w:szCs w:val="24"/>
                <w:lang w:val="en-US" w:bidi="zh-CN"/>
              </w:rPr>
              <w:t>三</w:t>
            </w:r>
            <w:r>
              <w:rPr>
                <w:rFonts w:hint="eastAsia" w:ascii="黑体" w:hAnsi="黑体" w:eastAsia="黑体" w:cs="黑体"/>
                <w:b w:val="0"/>
                <w:bCs/>
                <w:color w:val="000007"/>
                <w:kern w:val="0"/>
                <w:sz w:val="28"/>
                <w:szCs w:val="24"/>
                <w:lang w:val="zh-CN" w:bidi="zh-CN"/>
              </w:rPr>
              <w:t>、</w:t>
            </w:r>
            <w:r>
              <w:rPr>
                <w:rFonts w:hint="eastAsia" w:ascii="黑体" w:hAnsi="黑体" w:eastAsia="黑体" w:cs="黑体"/>
                <w:b w:val="0"/>
                <w:bCs/>
                <w:color w:val="000007"/>
                <w:kern w:val="0"/>
                <w:sz w:val="28"/>
                <w:szCs w:val="24"/>
                <w:lang w:val="en-US" w:bidi="zh-CN"/>
              </w:rPr>
              <w:t>应用场景与模型信息</w:t>
            </w:r>
          </w:p>
        </w:tc>
      </w:tr>
      <w:tr w14:paraId="1E98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shd w:val="clear" w:color="auto" w:fill="auto"/>
            <w:vAlign w:val="center"/>
          </w:tcPr>
          <w:p w14:paraId="1A8F6042">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szCs w:val="22"/>
                <w:lang w:val="en-US" w:eastAsia="zh-CN" w:bidi="zh-CN"/>
              </w:rPr>
            </w:pPr>
            <w:r>
              <w:rPr>
                <w:rFonts w:hint="eastAsia" w:ascii="黑体" w:hAnsi="黑体" w:eastAsia="黑体" w:cs="黑体"/>
                <w:b w:val="0"/>
                <w:bCs/>
                <w:color w:val="000007"/>
                <w:kern w:val="0"/>
                <w:sz w:val="24"/>
                <w:lang w:val="en-US" w:bidi="zh-CN"/>
              </w:rPr>
              <w:t>数据集拟用于何种模型</w:t>
            </w:r>
          </w:p>
        </w:tc>
        <w:tc>
          <w:tcPr>
            <w:tcW w:w="4139" w:type="pct"/>
            <w:gridSpan w:val="3"/>
            <w:shd w:val="clear" w:color="auto" w:fill="auto"/>
            <w:vAlign w:val="center"/>
          </w:tcPr>
          <w:p w14:paraId="46EF8E2D">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kern w:val="0"/>
                <w:sz w:val="24"/>
                <w:lang w:val="en-US" w:bidi="zh-CN"/>
              </w:rPr>
            </w:pP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zh-CN" w:bidi="zh-CN"/>
              </w:rPr>
              <w:t>大语言模型</w:t>
            </w:r>
            <w:r>
              <w:rPr>
                <w:rFonts w:hint="eastAsia" w:ascii="Times New Roman" w:hAnsi="Times New Roman" w:eastAsia="宋体" w:cs="Times New Roman"/>
                <w:kern w:val="0"/>
                <w:sz w:val="24"/>
                <w:lang w:val="en-US" w:bidi="zh-CN"/>
              </w:rPr>
              <w:t xml:space="preserve">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统计</w:t>
            </w:r>
            <w:r>
              <w:rPr>
                <w:rFonts w:hint="eastAsia" w:ascii="Times New Roman" w:hAnsi="Times New Roman" w:eastAsia="宋体" w:cs="Times New Roman"/>
                <w:kern w:val="0"/>
                <w:sz w:val="24"/>
                <w:lang w:val="zh-CN" w:bidi="zh-CN"/>
              </w:rPr>
              <w:t>模型</w:t>
            </w:r>
            <w:r>
              <w:rPr>
                <w:rFonts w:hint="eastAsia" w:ascii="Times New Roman" w:hAnsi="Times New Roman" w:eastAsia="宋体" w:cs="Times New Roman"/>
                <w:kern w:val="0"/>
                <w:sz w:val="24"/>
                <w:lang w:val="en-US" w:bidi="zh-CN"/>
              </w:rPr>
              <w:t xml:space="preserve">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视觉识别模型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推荐系统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语音识别</w:t>
            </w:r>
          </w:p>
          <w:p w14:paraId="414F9E9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b w:val="0"/>
                <w:bCs w:val="0"/>
                <w:kern w:val="0"/>
                <w:sz w:val="24"/>
                <w:szCs w:val="22"/>
                <w:lang w:val="en-US" w:eastAsia="zh-CN" w:bidi="zh-CN"/>
              </w:rPr>
            </w:pP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其他_______</w:t>
            </w:r>
          </w:p>
        </w:tc>
      </w:tr>
      <w:tr w14:paraId="0CF9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shd w:val="clear" w:color="auto" w:fill="auto"/>
            <w:vAlign w:val="center"/>
          </w:tcPr>
          <w:p w14:paraId="5093BEB9">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是否有</w:t>
            </w:r>
          </w:p>
          <w:p w14:paraId="04C3C3E7">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自有模型</w:t>
            </w:r>
          </w:p>
        </w:tc>
        <w:tc>
          <w:tcPr>
            <w:tcW w:w="4139" w:type="pct"/>
            <w:gridSpan w:val="3"/>
            <w:shd w:val="clear" w:color="auto" w:fill="auto"/>
            <w:vAlign w:val="center"/>
          </w:tcPr>
          <w:p w14:paraId="15033E2D">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ascii="Times New Roman" w:hAnsi="Times New Roman" w:eastAsia="宋体" w:cs="Times New Roman"/>
                <w:kern w:val="0"/>
                <w:sz w:val="24"/>
                <w:lang w:val="zh-CN"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是（模型名称：_______）</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否</w:t>
            </w:r>
            <w:r>
              <w:rPr>
                <w:rFonts w:ascii="宋体" w:hAnsi="宋体" w:eastAsia="宋体" w:cs="宋体"/>
                <w:sz w:val="24"/>
                <w:szCs w:val="24"/>
              </w:rPr>
              <w:t>（拟适配模型类型：________ ）</w:t>
            </w:r>
          </w:p>
        </w:tc>
      </w:tr>
      <w:tr w14:paraId="4710A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shd w:val="clear" w:color="auto" w:fill="auto"/>
            <w:vAlign w:val="center"/>
          </w:tcPr>
          <w:p w14:paraId="54C7649B">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数据集赋能</w:t>
            </w:r>
          </w:p>
          <w:p w14:paraId="56DD6CAB">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模型使用阶段</w:t>
            </w:r>
          </w:p>
          <w:p w14:paraId="75691751">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（可多选）</w:t>
            </w:r>
          </w:p>
        </w:tc>
        <w:tc>
          <w:tcPr>
            <w:tcW w:w="4139" w:type="pct"/>
            <w:gridSpan w:val="3"/>
            <w:shd w:val="clear" w:color="auto" w:fill="auto"/>
            <w:vAlign w:val="center"/>
          </w:tcPr>
          <w:p w14:paraId="56B8CF54">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kern w:val="0"/>
                <w:sz w:val="24"/>
                <w:lang w:val="en-US" w:bidi="zh-CN"/>
              </w:rPr>
            </w:pP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预训练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监督微调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强化对齐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强化微调 </w:t>
            </w:r>
          </w:p>
          <w:p w14:paraId="3EF61C1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kern w:val="0"/>
                <w:sz w:val="24"/>
                <w:lang w:val="zh-CN" w:bidi="zh-CN"/>
              </w:rPr>
            </w:pP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模型评测 </w:t>
            </w:r>
            <w:r>
              <w:rPr>
                <w:rFonts w:hint="eastAsia"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智能体训练 </w:t>
            </w:r>
            <w:r>
              <w:rPr>
                <w:rFonts w:hint="eastAsia" w:ascii="Times New Roman" w:hAnsi="Times New Roman" w:eastAsia="宋体" w:cs="Times New Roman"/>
                <w:kern w:val="0"/>
                <w:sz w:val="24"/>
                <w:lang w:val="en-US" w:bidi="zh-CN"/>
              </w:rPr>
              <w:sym w:font="Wingdings" w:char="00A8"/>
            </w:r>
            <w:r>
              <w:rPr>
                <w:rFonts w:hint="eastAsia" w:ascii="Times New Roman" w:hAnsi="Times New Roman" w:eastAsia="宋体" w:cs="Times New Roman"/>
                <w:kern w:val="0"/>
                <w:sz w:val="24"/>
                <w:lang w:val="en-US" w:bidi="zh-CN"/>
              </w:rPr>
              <w:t>其他________</w:t>
            </w:r>
          </w:p>
        </w:tc>
      </w:tr>
      <w:tr w14:paraId="6787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shd w:val="clear" w:color="auto" w:fill="auto"/>
            <w:vAlign w:val="center"/>
          </w:tcPr>
          <w:p w14:paraId="0ED162CD">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预期达到的</w:t>
            </w:r>
          </w:p>
          <w:p w14:paraId="4678D3D9">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性能目标</w:t>
            </w:r>
          </w:p>
        </w:tc>
        <w:tc>
          <w:tcPr>
            <w:tcW w:w="4139" w:type="pct"/>
            <w:gridSpan w:val="3"/>
            <w:shd w:val="clear" w:color="auto" w:fill="auto"/>
            <w:vAlign w:val="center"/>
          </w:tcPr>
          <w:p w14:paraId="57AD6B7A">
            <w:pPr>
              <w:rPr>
                <w:rFonts w:hint="eastAsia" w:ascii="Times New Roman" w:hAnsi="Times New Roman" w:eastAsia="宋体" w:cs="Times New Roman"/>
                <w:kern w:val="0"/>
                <w:sz w:val="24"/>
                <w:lang w:val="zh-CN" w:bidi="zh-CN"/>
              </w:rPr>
            </w:pPr>
            <w:r>
              <w:rPr>
                <w:rFonts w:hint="eastAsia" w:ascii="宋体" w:hAnsi="Times New Roman" w:eastAsia="宋体" w:cs="Times New Roman"/>
                <w:i/>
                <w:iCs/>
                <w:color w:val="7F7F7F"/>
                <w:spacing w:val="-1"/>
                <w:kern w:val="0"/>
                <w:sz w:val="24"/>
                <w:szCs w:val="24"/>
                <w:lang w:val="zh-CN" w:eastAsia="zh-CN"/>
              </w:rPr>
              <w:t>（如：准确率、召回率、F1值、响应时间等）</w:t>
            </w:r>
          </w:p>
        </w:tc>
      </w:tr>
      <w:tr w14:paraId="0CF0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0" w:type="pct"/>
            <w:shd w:val="clear" w:color="auto" w:fill="auto"/>
            <w:vAlign w:val="center"/>
          </w:tcPr>
          <w:p w14:paraId="598CE163">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主要应用</w:t>
            </w:r>
          </w:p>
          <w:p w14:paraId="28614C06">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黑体" w:hAnsi="黑体" w:eastAsia="黑体" w:cs="黑体"/>
                <w:b w:val="0"/>
                <w:bCs/>
                <w:color w:val="000007"/>
                <w:kern w:val="0"/>
                <w:sz w:val="24"/>
                <w:lang w:val="en-US" w:bidi="zh-CN"/>
              </w:rPr>
            </w:pPr>
            <w:r>
              <w:rPr>
                <w:rFonts w:hint="eastAsia" w:ascii="黑体" w:hAnsi="黑体" w:eastAsia="黑体" w:cs="黑体"/>
                <w:b w:val="0"/>
                <w:bCs/>
                <w:color w:val="000007"/>
                <w:kern w:val="0"/>
                <w:sz w:val="24"/>
                <w:lang w:val="en-US" w:bidi="zh-CN"/>
              </w:rPr>
              <w:t>场景</w:t>
            </w:r>
          </w:p>
        </w:tc>
        <w:tc>
          <w:tcPr>
            <w:tcW w:w="4139" w:type="pct"/>
            <w:gridSpan w:val="3"/>
            <w:shd w:val="clear" w:color="auto" w:fill="auto"/>
            <w:vAlign w:val="center"/>
          </w:tcPr>
          <w:p w14:paraId="537628C0">
            <w:pPr>
              <w:rPr>
                <w:rFonts w:hint="eastAsia" w:ascii="宋体" w:hAnsi="Times New Roman" w:eastAsia="宋体" w:cs="Times New Roman"/>
                <w:i/>
                <w:iCs/>
                <w:color w:val="7F7F7F"/>
                <w:spacing w:val="-1"/>
                <w:kern w:val="0"/>
                <w:sz w:val="24"/>
                <w:szCs w:val="24"/>
                <w:lang w:val="zh-CN" w:eastAsia="zh-CN"/>
              </w:rPr>
            </w:pPr>
            <w:r>
              <w:rPr>
                <w:rFonts w:hint="eastAsia" w:ascii="宋体" w:hAnsi="Times New Roman" w:eastAsia="宋体" w:cs="Times New Roman"/>
                <w:i/>
                <w:iCs/>
                <w:color w:val="7F7F7F"/>
                <w:spacing w:val="-1"/>
                <w:kern w:val="0"/>
                <w:sz w:val="24"/>
                <w:szCs w:val="24"/>
                <w:lang w:val="zh-CN" w:eastAsia="zh-CN"/>
              </w:rPr>
              <w:t>（如：智能客服、医疗影像分析、金融风控、自动驾驶等）</w:t>
            </w:r>
          </w:p>
        </w:tc>
      </w:tr>
      <w:tr w14:paraId="71A8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jc w:val="center"/>
        </w:trPr>
        <w:tc>
          <w:tcPr>
            <w:tcW w:w="5000" w:type="pct"/>
            <w:gridSpan w:val="4"/>
          </w:tcPr>
          <w:p w14:paraId="00EE29A9">
            <w:pPr>
              <w:autoSpaceDE w:val="0"/>
              <w:autoSpaceDN w:val="0"/>
              <w:spacing w:line="357" w:lineRule="exact"/>
              <w:ind w:left="108"/>
              <w:jc w:val="left"/>
              <w:rPr>
                <w:rFonts w:ascii="Times New Roman" w:hAnsi="Times New Roman" w:eastAsia="宋体" w:cs="Times New Roman"/>
                <w:b/>
                <w:color w:val="000007"/>
                <w:spacing w:val="-1"/>
                <w:kern w:val="0"/>
                <w:sz w:val="24"/>
                <w:lang w:val="zh-CN" w:bidi="zh-CN"/>
              </w:rPr>
            </w:pPr>
            <w:r>
              <w:rPr>
                <w:rFonts w:hint="eastAsia" w:ascii="Times New Roman" w:hAnsi="Times New Roman" w:eastAsia="宋体" w:cs="Times New Roman"/>
                <w:b/>
                <w:color w:val="000007"/>
                <w:spacing w:val="-1"/>
                <w:kern w:val="0"/>
                <w:sz w:val="24"/>
                <w:lang w:val="zh-CN" w:bidi="zh-CN"/>
              </w:rPr>
              <w:t>申请人声明：</w:t>
            </w:r>
          </w:p>
          <w:p w14:paraId="3A12DACD">
            <w:pPr>
              <w:autoSpaceDE w:val="0"/>
              <w:autoSpaceDN w:val="0"/>
              <w:spacing w:before="9"/>
              <w:ind w:left="283" w:leftChars="135" w:right="288" w:rightChars="137"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本组织保证该</w:t>
            </w:r>
            <w:r>
              <w:rPr>
                <w:rFonts w:hint="eastAsia" w:ascii="Times New Roman" w:hAnsi="Times New Roman" w:eastAsia="宋体" w:cs="Times New Roman"/>
                <w:kern w:val="0"/>
                <w:sz w:val="24"/>
                <w:szCs w:val="24"/>
                <w:lang w:val="zh-CN" w:bidi="zh-CN"/>
              </w:rPr>
              <w:t>申请书中</w:t>
            </w:r>
            <w:r>
              <w:rPr>
                <w:rFonts w:ascii="Times New Roman" w:hAnsi="Times New Roman" w:eastAsia="宋体" w:cs="Times New Roman"/>
                <w:kern w:val="0"/>
                <w:sz w:val="24"/>
                <w:szCs w:val="24"/>
                <w:lang w:val="zh-CN" w:bidi="zh-CN"/>
              </w:rPr>
              <w:t>描述</w:t>
            </w:r>
            <w:r>
              <w:rPr>
                <w:rFonts w:hint="eastAsia" w:ascii="Times New Roman" w:hAnsi="Times New Roman" w:eastAsia="宋体" w:cs="Times New Roman"/>
                <w:kern w:val="0"/>
                <w:sz w:val="24"/>
                <w:szCs w:val="24"/>
                <w:lang w:val="zh-CN" w:bidi="zh-CN"/>
              </w:rPr>
              <w:t>的</w:t>
            </w:r>
            <w:r>
              <w:rPr>
                <w:rFonts w:hint="eastAsia" w:ascii="Times New Roman" w:hAnsi="Times New Roman" w:eastAsia="宋体" w:cs="Times New Roman"/>
                <w:kern w:val="0"/>
                <w:sz w:val="24"/>
                <w:szCs w:val="24"/>
                <w:lang w:val="en-US" w:bidi="zh-CN"/>
              </w:rPr>
              <w:t>数据</w:t>
            </w:r>
            <w:r>
              <w:rPr>
                <w:rFonts w:hint="eastAsia" w:ascii="Times New Roman" w:hAnsi="Times New Roman" w:eastAsia="宋体" w:cs="Times New Roman"/>
                <w:kern w:val="0"/>
                <w:sz w:val="24"/>
                <w:szCs w:val="24"/>
                <w:lang w:val="zh-CN" w:bidi="zh-CN"/>
              </w:rPr>
              <w:t>业务</w:t>
            </w:r>
            <w:r>
              <w:rPr>
                <w:rFonts w:ascii="Times New Roman" w:hAnsi="Times New Roman" w:eastAsia="宋体" w:cs="Times New Roman"/>
                <w:kern w:val="0"/>
                <w:sz w:val="24"/>
                <w:szCs w:val="24"/>
                <w:lang w:val="zh-CN" w:bidi="zh-CN"/>
              </w:rPr>
              <w:t>及评价</w:t>
            </w:r>
            <w:r>
              <w:rPr>
                <w:rFonts w:hint="eastAsia" w:ascii="Times New Roman" w:hAnsi="Times New Roman" w:eastAsia="宋体" w:cs="Times New Roman"/>
                <w:kern w:val="0"/>
                <w:sz w:val="24"/>
                <w:szCs w:val="24"/>
                <w:lang w:val="zh-CN" w:bidi="zh-CN"/>
              </w:rPr>
              <w:t>范围</w:t>
            </w:r>
            <w:r>
              <w:rPr>
                <w:rFonts w:ascii="Times New Roman" w:hAnsi="Times New Roman" w:eastAsia="宋体" w:cs="Times New Roman"/>
                <w:kern w:val="0"/>
                <w:sz w:val="24"/>
                <w:szCs w:val="24"/>
                <w:lang w:val="zh-CN" w:bidi="zh-CN"/>
              </w:rPr>
              <w:t>等与</w:t>
            </w:r>
            <w:r>
              <w:rPr>
                <w:rFonts w:hint="eastAsia" w:ascii="Times New Roman" w:hAnsi="Times New Roman" w:eastAsia="宋体" w:cs="Times New Roman"/>
                <w:kern w:val="0"/>
                <w:sz w:val="24"/>
                <w:szCs w:val="24"/>
                <w:lang w:val="zh-CN" w:bidi="zh-CN"/>
              </w:rPr>
              <w:t>本组织</w:t>
            </w:r>
            <w:r>
              <w:rPr>
                <w:rFonts w:ascii="Times New Roman" w:hAnsi="Times New Roman" w:eastAsia="宋体" w:cs="Times New Roman"/>
                <w:kern w:val="0"/>
                <w:sz w:val="24"/>
                <w:szCs w:val="24"/>
                <w:lang w:val="zh-CN" w:bidi="zh-CN"/>
              </w:rPr>
              <w:t>的</w:t>
            </w:r>
            <w:r>
              <w:rPr>
                <w:rFonts w:hint="eastAsia" w:ascii="Times New Roman" w:hAnsi="Times New Roman" w:eastAsia="宋体" w:cs="Times New Roman"/>
                <w:kern w:val="0"/>
                <w:sz w:val="24"/>
                <w:szCs w:val="24"/>
                <w:lang w:val="zh-CN" w:bidi="zh-CN"/>
              </w:rPr>
              <w:t>实际情况</w:t>
            </w:r>
            <w:r>
              <w:rPr>
                <w:rFonts w:ascii="Times New Roman" w:hAnsi="Times New Roman" w:eastAsia="宋体" w:cs="Times New Roman"/>
                <w:kern w:val="0"/>
                <w:sz w:val="24"/>
                <w:szCs w:val="24"/>
                <w:lang w:val="zh-CN" w:bidi="zh-CN"/>
              </w:rPr>
              <w:t>保持一致。通过评价后，如果影响</w:t>
            </w:r>
            <w:r>
              <w:rPr>
                <w:rFonts w:hint="eastAsia" w:ascii="Times New Roman" w:hAnsi="Times New Roman" w:eastAsia="宋体" w:cs="Times New Roman"/>
                <w:kern w:val="0"/>
                <w:sz w:val="24"/>
                <w:szCs w:val="24"/>
                <w:lang w:val="en-US" w:bidi="zh-CN"/>
              </w:rPr>
              <w:t>人工智能高质量数据集</w:t>
            </w:r>
            <w:r>
              <w:rPr>
                <w:rFonts w:hint="eastAsia" w:ascii="Times New Roman" w:hAnsi="Times New Roman" w:eastAsia="宋体" w:cs="Times New Roman"/>
                <w:kern w:val="0"/>
                <w:sz w:val="24"/>
                <w:szCs w:val="24"/>
                <w:lang w:val="zh-CN" w:bidi="zh-CN"/>
              </w:rPr>
              <w:t>评价结果的条件</w:t>
            </w:r>
            <w:r>
              <w:rPr>
                <w:rFonts w:ascii="Times New Roman" w:hAnsi="Times New Roman" w:eastAsia="宋体" w:cs="Times New Roman"/>
                <w:kern w:val="0"/>
                <w:sz w:val="24"/>
                <w:szCs w:val="24"/>
                <w:lang w:val="zh-CN" w:bidi="zh-CN"/>
              </w:rPr>
              <w:t>需</w:t>
            </w:r>
            <w:r>
              <w:rPr>
                <w:rFonts w:hint="eastAsia" w:ascii="Times New Roman" w:hAnsi="Times New Roman" w:eastAsia="宋体" w:cs="Times New Roman"/>
                <w:kern w:val="0"/>
                <w:sz w:val="24"/>
                <w:szCs w:val="24"/>
                <w:lang w:val="zh-CN" w:bidi="zh-CN"/>
              </w:rPr>
              <w:t>发生</w:t>
            </w:r>
            <w:r>
              <w:rPr>
                <w:rFonts w:ascii="Times New Roman" w:hAnsi="Times New Roman" w:eastAsia="宋体" w:cs="Times New Roman"/>
                <w:kern w:val="0"/>
                <w:sz w:val="24"/>
                <w:szCs w:val="24"/>
                <w:lang w:val="zh-CN" w:bidi="zh-CN"/>
              </w:rPr>
              <w:t>变更，本组织将向CQC提出变更申请，经CQC批准后</w:t>
            </w:r>
            <w:r>
              <w:rPr>
                <w:rFonts w:hint="eastAsia" w:ascii="Times New Roman" w:hAnsi="Times New Roman" w:eastAsia="宋体" w:cs="Times New Roman"/>
                <w:kern w:val="0"/>
                <w:sz w:val="24"/>
                <w:szCs w:val="24"/>
                <w:lang w:val="zh-CN" w:bidi="zh-CN"/>
              </w:rPr>
              <w:t>方</w:t>
            </w:r>
            <w:r>
              <w:rPr>
                <w:rFonts w:ascii="Times New Roman" w:hAnsi="Times New Roman" w:eastAsia="宋体" w:cs="Times New Roman"/>
                <w:kern w:val="0"/>
                <w:sz w:val="24"/>
                <w:szCs w:val="24"/>
                <w:lang w:val="zh-CN" w:bidi="zh-CN"/>
              </w:rPr>
              <w:t>实施变更，以确评价证书有效期内始终符合</w:t>
            </w:r>
            <w:r>
              <w:rPr>
                <w:rFonts w:hint="eastAsia" w:ascii="Times New Roman" w:hAnsi="Times New Roman" w:eastAsia="宋体" w:cs="Times New Roman"/>
                <w:kern w:val="0"/>
                <w:sz w:val="24"/>
                <w:szCs w:val="24"/>
                <w:lang w:val="zh-CN" w:bidi="zh-CN"/>
              </w:rPr>
              <w:t>本组织的真实情况</w:t>
            </w:r>
            <w:r>
              <w:rPr>
                <w:rFonts w:ascii="Times New Roman" w:hAnsi="Times New Roman" w:eastAsia="宋体" w:cs="Times New Roman"/>
                <w:kern w:val="0"/>
                <w:sz w:val="24"/>
                <w:szCs w:val="24"/>
                <w:lang w:val="zh-CN" w:bidi="zh-CN"/>
              </w:rPr>
              <w:t>。</w:t>
            </w:r>
          </w:p>
          <w:p w14:paraId="2FD9089E">
            <w:pPr>
              <w:autoSpaceDE w:val="0"/>
              <w:autoSpaceDN w:val="0"/>
              <w:spacing w:before="9"/>
              <w:ind w:left="283" w:leftChars="135" w:right="288" w:rightChars="137"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本组织保证只在获证</w:t>
            </w:r>
            <w:r>
              <w:rPr>
                <w:rFonts w:hint="eastAsia" w:ascii="Times New Roman" w:hAnsi="Times New Roman" w:eastAsia="宋体" w:cs="Times New Roman"/>
                <w:kern w:val="0"/>
                <w:sz w:val="24"/>
                <w:szCs w:val="24"/>
                <w:lang w:val="zh-CN" w:bidi="zh-CN"/>
              </w:rPr>
              <w:t>范围内</w:t>
            </w:r>
            <w:r>
              <w:rPr>
                <w:rFonts w:ascii="Times New Roman" w:hAnsi="Times New Roman" w:eastAsia="宋体" w:cs="Times New Roman"/>
                <w:kern w:val="0"/>
                <w:sz w:val="24"/>
                <w:szCs w:val="24"/>
                <w:lang w:val="zh-CN" w:bidi="zh-CN"/>
              </w:rPr>
              <w:t>使用评价证书及标志。</w:t>
            </w:r>
          </w:p>
          <w:p w14:paraId="665156C6">
            <w:pPr>
              <w:autoSpaceDE w:val="0"/>
              <w:autoSpaceDN w:val="0"/>
              <w:spacing w:before="9"/>
              <w:ind w:left="283" w:leftChars="135" w:right="288" w:rightChars="137" w:firstLine="480" w:firstLineChars="200"/>
              <w:rPr>
                <w:rFonts w:hint="eastAsia" w:ascii="Times New Roman" w:hAnsi="Times New Roman" w:eastAsia="宋体" w:cs="Times New Roman"/>
                <w:kern w:val="0"/>
                <w:sz w:val="24"/>
                <w:szCs w:val="24"/>
                <w:lang w:val="zh-CN" w:bidi="zh-CN"/>
              </w:rPr>
            </w:pPr>
          </w:p>
          <w:p w14:paraId="37B8DE46">
            <w:pPr>
              <w:autoSpaceDE w:val="0"/>
              <w:autoSpaceDN w:val="0"/>
              <w:spacing w:before="9"/>
              <w:ind w:firstLine="4560" w:firstLineChars="1900"/>
              <w:jc w:val="left"/>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申请人</w:t>
            </w:r>
            <w:r>
              <w:rPr>
                <w:rFonts w:hint="eastAsia" w:ascii="Times New Roman" w:hAnsi="Times New Roman" w:eastAsia="宋体" w:cs="Times New Roman"/>
                <w:kern w:val="0"/>
                <w:sz w:val="24"/>
                <w:szCs w:val="24"/>
                <w:lang w:val="zh-CN" w:bidi="zh-CN"/>
              </w:rPr>
              <w:t>：</w:t>
            </w:r>
            <w:r>
              <w:rPr>
                <w:rFonts w:ascii="Times New Roman" w:hAnsi="Times New Roman" w:eastAsia="宋体" w:cs="Times New Roman"/>
                <w:kern w:val="0"/>
                <w:sz w:val="24"/>
                <w:szCs w:val="24"/>
                <w:lang w:val="zh-CN" w:bidi="zh-CN"/>
              </w:rPr>
              <w:t xml:space="preserve"> </w:t>
            </w:r>
          </w:p>
          <w:p w14:paraId="41AB4018">
            <w:pPr>
              <w:autoSpaceDE w:val="0"/>
              <w:autoSpaceDN w:val="0"/>
              <w:spacing w:before="9"/>
              <w:ind w:firstLine="4560" w:firstLineChars="1900"/>
              <w:jc w:val="left"/>
              <w:rPr>
                <w:rFonts w:ascii="Times New Roman" w:hAnsi="Times New Roman" w:eastAsia="宋体" w:cs="Times New Roman"/>
                <w:kern w:val="0"/>
                <w:sz w:val="24"/>
                <w:szCs w:val="24"/>
                <w:lang w:val="zh-CN" w:bidi="zh-CN"/>
              </w:rPr>
            </w:pPr>
          </w:p>
          <w:p w14:paraId="3462D4AD">
            <w:pPr>
              <w:autoSpaceDE w:val="0"/>
              <w:autoSpaceDN w:val="0"/>
              <w:spacing w:before="9"/>
              <w:ind w:firstLine="6000" w:firstLineChars="2500"/>
              <w:jc w:val="left"/>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（公章）</w:t>
            </w:r>
          </w:p>
          <w:p w14:paraId="7AF8920A">
            <w:pPr>
              <w:autoSpaceDE w:val="0"/>
              <w:autoSpaceDN w:val="0"/>
              <w:spacing w:before="9"/>
              <w:ind w:firstLine="6000" w:firstLineChars="2500"/>
              <w:jc w:val="left"/>
              <w:rPr>
                <w:rFonts w:ascii="Times New Roman" w:hAnsi="Times New Roman" w:eastAsia="宋体" w:cs="Times New Roman"/>
                <w:kern w:val="0"/>
                <w:sz w:val="24"/>
                <w:szCs w:val="24"/>
                <w:lang w:val="zh-CN" w:bidi="zh-CN"/>
              </w:rPr>
            </w:pPr>
          </w:p>
          <w:p w14:paraId="17CCD69C">
            <w:pPr>
              <w:autoSpaceDE w:val="0"/>
              <w:autoSpaceDN w:val="0"/>
              <w:spacing w:before="9"/>
              <w:jc w:val="left"/>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ab/>
            </w:r>
            <w:r>
              <w:rPr>
                <w:rFonts w:ascii="Times New Roman" w:hAnsi="Times New Roman" w:eastAsia="宋体" w:cs="Times New Roman"/>
                <w:kern w:val="0"/>
                <w:sz w:val="24"/>
                <w:szCs w:val="24"/>
                <w:lang w:val="zh-CN" w:bidi="zh-CN"/>
              </w:rPr>
              <w:t xml:space="preserve">                                   日期：    年    月   日</w:t>
            </w:r>
          </w:p>
          <w:p w14:paraId="66CBEC15">
            <w:pPr>
              <w:autoSpaceDE w:val="0"/>
              <w:autoSpaceDN w:val="0"/>
              <w:spacing w:before="9"/>
              <w:jc w:val="left"/>
              <w:rPr>
                <w:rFonts w:hint="eastAsia" w:ascii="Times New Roman" w:hAnsi="Times New Roman" w:eastAsia="宋体" w:cs="Times New Roman"/>
                <w:kern w:val="0"/>
                <w:sz w:val="25"/>
                <w:lang w:val="zh-CN" w:bidi="zh-CN"/>
              </w:rPr>
            </w:pPr>
          </w:p>
        </w:tc>
      </w:tr>
      <w:tr w14:paraId="276DA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4"/>
            <w:shd w:val="clear" w:color="auto" w:fill="BEBEBE" w:themeFill="background1" w:themeFillShade="BF"/>
            <w:vAlign w:val="center"/>
          </w:tcPr>
          <w:p w14:paraId="11D89884">
            <w:pPr>
              <w:keepNext w:val="0"/>
              <w:keepLines w:val="0"/>
              <w:pageBreakBefore w:val="0"/>
              <w:widowControl w:val="0"/>
              <w:kinsoku/>
              <w:wordWrap/>
              <w:overflowPunct/>
              <w:topLinePunct w:val="0"/>
              <w:autoSpaceDE w:val="0"/>
              <w:autoSpaceDN w:val="0"/>
              <w:bidi w:val="0"/>
              <w:adjustRightInd/>
              <w:snapToGrid/>
              <w:spacing w:line="377" w:lineRule="exact"/>
              <w:ind w:left="0"/>
              <w:jc w:val="center"/>
              <w:textAlignment w:val="auto"/>
              <w:rPr>
                <w:rFonts w:hint="eastAsia" w:ascii="Times New Roman" w:hAnsi="Times New Roman" w:eastAsia="宋体" w:cs="Times New Roman"/>
                <w:b/>
                <w:color w:val="000007"/>
                <w:spacing w:val="-1"/>
                <w:kern w:val="0"/>
                <w:sz w:val="24"/>
                <w:lang w:val="zh-CN" w:bidi="zh-CN"/>
              </w:rPr>
            </w:pPr>
            <w:r>
              <w:rPr>
                <w:rFonts w:hint="eastAsia" w:ascii="黑体" w:hAnsi="黑体" w:eastAsia="黑体" w:cs="黑体"/>
                <w:b w:val="0"/>
                <w:bCs/>
                <w:color w:val="000007"/>
                <w:kern w:val="0"/>
                <w:sz w:val="28"/>
                <w:szCs w:val="24"/>
                <w:lang w:val="en-US" w:bidi="zh-CN"/>
              </w:rPr>
              <w:t>四</w:t>
            </w:r>
            <w:r>
              <w:rPr>
                <w:rFonts w:hint="eastAsia" w:ascii="黑体" w:hAnsi="黑体" w:eastAsia="黑体" w:cs="黑体"/>
                <w:b w:val="0"/>
                <w:bCs/>
                <w:color w:val="000007"/>
                <w:kern w:val="0"/>
                <w:sz w:val="28"/>
                <w:szCs w:val="24"/>
                <w:lang w:val="zh-CN" w:bidi="zh-CN"/>
              </w:rPr>
              <w:t>、审核情况</w:t>
            </w:r>
          </w:p>
        </w:tc>
      </w:tr>
      <w:tr w14:paraId="5FDBE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5000" w:type="pct"/>
            <w:gridSpan w:val="4"/>
          </w:tcPr>
          <w:p w14:paraId="50EDA995">
            <w:pPr>
              <w:autoSpaceDE w:val="0"/>
              <w:autoSpaceDN w:val="0"/>
              <w:spacing w:line="357" w:lineRule="exact"/>
              <w:ind w:left="284" w:right="288" w:rightChars="137" w:firstLine="476" w:firstLineChars="200"/>
              <w:rPr>
                <w:rFonts w:ascii="Times New Roman" w:hAnsi="Times New Roman" w:eastAsia="宋体" w:cs="Times New Roman"/>
                <w:bCs/>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经评</w:t>
            </w:r>
            <w:r>
              <w:rPr>
                <w:rFonts w:hint="eastAsia" w:ascii="Times New Roman" w:hAnsi="Times New Roman" w:eastAsia="宋体" w:cs="Times New Roman"/>
                <w:bCs/>
                <w:color w:val="000007"/>
                <w:spacing w:val="-1"/>
                <w:kern w:val="0"/>
                <w:sz w:val="24"/>
                <w:lang w:val="en-US" w:bidi="zh-CN"/>
              </w:rPr>
              <w:t>价</w:t>
            </w:r>
            <w:r>
              <w:rPr>
                <w:rFonts w:hint="eastAsia" w:ascii="Times New Roman" w:hAnsi="Times New Roman" w:eastAsia="宋体" w:cs="Times New Roman"/>
                <w:bCs/>
                <w:color w:val="000007"/>
                <w:spacing w:val="-1"/>
                <w:kern w:val="0"/>
                <w:sz w:val="24"/>
                <w:lang w:val="zh-CN" w:bidi="zh-CN"/>
              </w:rPr>
              <w:t>，申请人的情况符合</w:t>
            </w:r>
            <w:r>
              <w:rPr>
                <w:rFonts w:hint="eastAsia" w:ascii="Times New Roman" w:hAnsi="Times New Roman" w:eastAsia="宋体" w:cs="Times New Roman"/>
                <w:kern w:val="0"/>
                <w:sz w:val="24"/>
                <w:szCs w:val="24"/>
                <w:lang w:val="en-US" w:bidi="zh-CN"/>
              </w:rPr>
              <w:t>人工智能高质量数据集</w:t>
            </w:r>
            <w:r>
              <w:rPr>
                <w:rFonts w:hint="eastAsia" w:ascii="Times New Roman" w:hAnsi="Times New Roman" w:eastAsia="宋体" w:cs="Times New Roman"/>
                <w:bCs/>
                <w:color w:val="000007"/>
                <w:spacing w:val="-1"/>
                <w:kern w:val="0"/>
                <w:sz w:val="24"/>
                <w:lang w:val="en-US" w:bidi="zh-CN"/>
              </w:rPr>
              <w:t>评价</w:t>
            </w:r>
            <w:r>
              <w:rPr>
                <w:rFonts w:hint="eastAsia" w:ascii="Times New Roman" w:hAnsi="Times New Roman" w:eastAsia="宋体" w:cs="Times New Roman"/>
                <w:bCs/>
                <w:color w:val="000007"/>
                <w:spacing w:val="-1"/>
                <w:kern w:val="0"/>
                <w:sz w:val="24"/>
                <w:lang w:val="zh-CN" w:bidi="zh-CN"/>
              </w:rPr>
              <w:t>业务的要求，</w:t>
            </w:r>
            <w:r>
              <w:rPr>
                <w:rFonts w:hint="eastAsia" w:ascii="Times New Roman" w:hAnsi="Times New Roman" w:eastAsia="宋体" w:cs="Times New Roman"/>
                <w:bCs/>
                <w:color w:val="000007"/>
                <w:spacing w:val="-1"/>
                <w:kern w:val="0"/>
                <w:sz w:val="24"/>
                <w:u w:val="single"/>
                <w:lang w:val="zh-CN" w:bidi="zh-CN"/>
              </w:rPr>
              <w:sym w:font="Wingdings" w:char="F06F"/>
            </w:r>
            <w:r>
              <w:rPr>
                <w:rFonts w:hint="eastAsia" w:ascii="Times New Roman" w:hAnsi="Times New Roman" w:eastAsia="宋体" w:cs="Times New Roman"/>
                <w:bCs/>
                <w:color w:val="000007"/>
                <w:spacing w:val="-1"/>
                <w:kern w:val="0"/>
                <w:sz w:val="24"/>
                <w:u w:val="single"/>
                <w:lang w:val="zh-CN" w:bidi="zh-CN"/>
              </w:rPr>
              <w:t xml:space="preserve">同意 </w:t>
            </w:r>
            <w:r>
              <w:rPr>
                <w:rFonts w:hint="eastAsia" w:ascii="Times New Roman" w:hAnsi="Times New Roman" w:eastAsia="宋体" w:cs="Times New Roman"/>
                <w:bCs/>
                <w:color w:val="000007"/>
                <w:spacing w:val="-1"/>
                <w:kern w:val="0"/>
                <w:sz w:val="24"/>
                <w:u w:val="single"/>
                <w:lang w:val="zh-CN" w:bidi="zh-CN"/>
              </w:rPr>
              <w:sym w:font="Wingdings" w:char="F06F"/>
            </w:r>
            <w:r>
              <w:rPr>
                <w:rFonts w:hint="eastAsia" w:ascii="Times New Roman" w:hAnsi="Times New Roman" w:eastAsia="宋体" w:cs="Times New Roman"/>
                <w:bCs/>
                <w:color w:val="000007"/>
                <w:spacing w:val="-1"/>
                <w:kern w:val="0"/>
                <w:sz w:val="24"/>
                <w:u w:val="single"/>
                <w:lang w:val="zh-CN" w:bidi="zh-CN"/>
              </w:rPr>
              <w:t>不同意</w:t>
            </w:r>
            <w:r>
              <w:rPr>
                <w:rFonts w:hint="eastAsia" w:ascii="Times New Roman" w:hAnsi="Times New Roman" w:eastAsia="宋体" w:cs="Times New Roman"/>
                <w:bCs/>
                <w:color w:val="000007"/>
                <w:spacing w:val="-1"/>
                <w:kern w:val="0"/>
                <w:sz w:val="24"/>
                <w:lang w:val="zh-CN" w:bidi="zh-CN"/>
              </w:rPr>
              <w:t>受理该申请。</w:t>
            </w:r>
          </w:p>
          <w:p w14:paraId="05B0C859">
            <w:pPr>
              <w:autoSpaceDE w:val="0"/>
              <w:autoSpaceDN w:val="0"/>
              <w:spacing w:line="357" w:lineRule="exact"/>
              <w:ind w:left="284" w:right="288" w:rightChars="137" w:firstLine="476" w:firstLineChars="200"/>
              <w:rPr>
                <w:rFonts w:hint="eastAsia" w:ascii="Times New Roman" w:hAnsi="Times New Roman" w:eastAsia="宋体" w:cs="Times New Roman"/>
                <w:bCs/>
                <w:color w:val="000007"/>
                <w:spacing w:val="-1"/>
                <w:kern w:val="0"/>
                <w:sz w:val="24"/>
                <w:lang w:val="zh-CN" w:bidi="zh-CN"/>
              </w:rPr>
            </w:pPr>
          </w:p>
          <w:p w14:paraId="0363F664">
            <w:pPr>
              <w:autoSpaceDE w:val="0"/>
              <w:autoSpaceDN w:val="0"/>
              <w:spacing w:line="357" w:lineRule="exact"/>
              <w:ind w:left="108" w:firstLine="4522" w:firstLineChars="1900"/>
              <w:rPr>
                <w:rFonts w:ascii="Times New Roman" w:hAnsi="Times New Roman" w:eastAsia="宋体" w:cs="Times New Roman"/>
                <w:bCs/>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审核人：</w:t>
            </w:r>
          </w:p>
          <w:p w14:paraId="0EE1DE1F">
            <w:pPr>
              <w:autoSpaceDE w:val="0"/>
              <w:autoSpaceDN w:val="0"/>
              <w:spacing w:line="357" w:lineRule="exact"/>
              <w:ind w:left="108" w:firstLine="4522" w:firstLineChars="1900"/>
              <w:rPr>
                <w:rFonts w:hint="eastAsia" w:ascii="Times New Roman" w:hAnsi="Times New Roman" w:eastAsia="宋体" w:cs="Times New Roman"/>
                <w:bCs/>
                <w:color w:val="000007"/>
                <w:spacing w:val="-1"/>
                <w:kern w:val="0"/>
                <w:sz w:val="24"/>
                <w:lang w:val="zh-CN" w:bidi="zh-CN"/>
              </w:rPr>
            </w:pPr>
          </w:p>
          <w:p w14:paraId="3FD9CB2E">
            <w:pPr>
              <w:autoSpaceDE w:val="0"/>
              <w:autoSpaceDN w:val="0"/>
              <w:spacing w:line="357" w:lineRule="exact"/>
              <w:ind w:left="108" w:firstLine="5950" w:firstLineChars="2500"/>
              <w:rPr>
                <w:rFonts w:ascii="Times New Roman" w:hAnsi="Times New Roman" w:eastAsia="宋体" w:cs="Times New Roman"/>
                <w:bCs/>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（公章）</w:t>
            </w:r>
          </w:p>
          <w:p w14:paraId="70D0D761">
            <w:pPr>
              <w:autoSpaceDE w:val="0"/>
              <w:autoSpaceDN w:val="0"/>
              <w:spacing w:line="357" w:lineRule="exact"/>
              <w:ind w:left="108" w:firstLine="5950" w:firstLineChars="2500"/>
              <w:rPr>
                <w:rFonts w:hint="eastAsia" w:ascii="Times New Roman" w:hAnsi="Times New Roman" w:eastAsia="宋体" w:cs="Times New Roman"/>
                <w:bCs/>
                <w:color w:val="000007"/>
                <w:spacing w:val="-1"/>
                <w:kern w:val="0"/>
                <w:sz w:val="24"/>
                <w:lang w:val="zh-CN" w:bidi="zh-CN"/>
              </w:rPr>
            </w:pPr>
          </w:p>
          <w:p w14:paraId="45737798">
            <w:pPr>
              <w:autoSpaceDE w:val="0"/>
              <w:autoSpaceDN w:val="0"/>
              <w:spacing w:line="357" w:lineRule="exact"/>
              <w:ind w:left="108" w:firstLine="4522" w:firstLineChars="1900"/>
              <w:rPr>
                <w:rFonts w:hint="eastAsia" w:ascii="Times New Roman" w:hAnsi="Times New Roman" w:eastAsia="宋体" w:cs="Times New Roman"/>
                <w:b/>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 xml:space="preserve">日期： </w:t>
            </w:r>
            <w:r>
              <w:rPr>
                <w:rFonts w:ascii="Times New Roman" w:hAnsi="Times New Roman" w:eastAsia="宋体" w:cs="Times New Roman"/>
                <w:bCs/>
                <w:color w:val="000007"/>
                <w:spacing w:val="-1"/>
                <w:kern w:val="0"/>
                <w:sz w:val="24"/>
                <w:lang w:val="zh-CN" w:bidi="zh-CN"/>
              </w:rPr>
              <w:t xml:space="preserve">   </w:t>
            </w:r>
            <w:r>
              <w:rPr>
                <w:rFonts w:hint="eastAsia" w:ascii="Times New Roman" w:hAnsi="Times New Roman" w:eastAsia="宋体" w:cs="Times New Roman"/>
                <w:bCs/>
                <w:color w:val="000007"/>
                <w:spacing w:val="-1"/>
                <w:kern w:val="0"/>
                <w:sz w:val="24"/>
                <w:lang w:val="zh-CN" w:bidi="zh-CN"/>
              </w:rPr>
              <w:t xml:space="preserve">年 </w:t>
            </w:r>
            <w:r>
              <w:rPr>
                <w:rFonts w:ascii="Times New Roman" w:hAnsi="Times New Roman" w:eastAsia="宋体" w:cs="Times New Roman"/>
                <w:bCs/>
                <w:color w:val="000007"/>
                <w:spacing w:val="-1"/>
                <w:kern w:val="0"/>
                <w:sz w:val="24"/>
                <w:lang w:val="zh-CN" w:bidi="zh-CN"/>
              </w:rPr>
              <w:t xml:space="preserve">   </w:t>
            </w:r>
            <w:r>
              <w:rPr>
                <w:rFonts w:hint="eastAsia" w:ascii="Times New Roman" w:hAnsi="Times New Roman" w:eastAsia="宋体" w:cs="Times New Roman"/>
                <w:bCs/>
                <w:color w:val="000007"/>
                <w:spacing w:val="-1"/>
                <w:kern w:val="0"/>
                <w:sz w:val="24"/>
                <w:lang w:val="zh-CN" w:bidi="zh-CN"/>
              </w:rPr>
              <w:t xml:space="preserve">月 </w:t>
            </w:r>
            <w:r>
              <w:rPr>
                <w:rFonts w:ascii="Times New Roman" w:hAnsi="Times New Roman" w:eastAsia="宋体" w:cs="Times New Roman"/>
                <w:bCs/>
                <w:color w:val="000007"/>
                <w:spacing w:val="-1"/>
                <w:kern w:val="0"/>
                <w:sz w:val="24"/>
                <w:lang w:val="zh-CN" w:bidi="zh-CN"/>
              </w:rPr>
              <w:t xml:space="preserve"> </w:t>
            </w:r>
            <w:r>
              <w:rPr>
                <w:rFonts w:hint="eastAsia" w:ascii="Times New Roman" w:hAnsi="Times New Roman" w:eastAsia="宋体" w:cs="Times New Roman"/>
                <w:bCs/>
                <w:color w:val="000007"/>
                <w:spacing w:val="-1"/>
                <w:kern w:val="0"/>
                <w:sz w:val="24"/>
                <w:lang w:val="zh-CN" w:bidi="zh-CN"/>
              </w:rPr>
              <w:t xml:space="preserve"> 日</w:t>
            </w:r>
          </w:p>
        </w:tc>
      </w:tr>
    </w:tbl>
    <w:p w14:paraId="14C05615">
      <w:pPr>
        <w:widowControl w:val="0"/>
        <w:numPr>
          <w:ilvl w:val="0"/>
          <w:numId w:val="0"/>
        </w:numPr>
        <w:jc w:val="left"/>
        <w:rPr>
          <w:rFonts w:hint="default" w:ascii="Times New Roman" w:hAnsi="Times New Roman" w:eastAsia="宋体" w:cs="Times New Roman"/>
          <w:sz w:val="24"/>
          <w:szCs w:val="24"/>
          <w:lang w:val="en-US" w:eastAsia="zh-CN"/>
        </w:rPr>
      </w:pPr>
    </w:p>
    <w:p w14:paraId="1743AF25">
      <w:pPr>
        <w:keepNext/>
        <w:keepLines w:val="0"/>
        <w:pageBreakBefore/>
        <w:widowControl w:val="0"/>
        <w:kinsoku/>
        <w:wordWrap/>
        <w:overflowPunct/>
        <w:topLinePunct w:val="0"/>
        <w:autoSpaceDE/>
        <w:autoSpaceDN/>
        <w:bidi w:val="0"/>
        <w:adjustRightInd/>
        <w:snapToGrid/>
        <w:jc w:val="center"/>
        <w:textAlignment w:val="auto"/>
        <w:rPr>
          <w:rFonts w:hint="eastAsia" w:eastAsia="仿宋_GB2312"/>
        </w:rPr>
      </w:pPr>
      <w:r>
        <w:rPr>
          <w:rFonts w:hint="eastAsia" w:ascii="宋体" w:hAnsi="宋体"/>
          <w:b/>
          <w:kern w:val="0"/>
          <w:sz w:val="36"/>
          <w:szCs w:val="28"/>
        </w:rPr>
        <w:t>人工智能高质量数据集评价通用条款</w:t>
      </w:r>
    </w:p>
    <w:p w14:paraId="02019079">
      <w:pPr>
        <w:spacing w:line="360" w:lineRule="auto"/>
        <w:rPr>
          <w:rFonts w:ascii="仿宋_GB2312" w:hAnsi="仿宋_GB2312" w:eastAsia="仿宋_GB2312" w:cs="仿宋_GB2312"/>
          <w:color w:val="000000"/>
          <w:sz w:val="22"/>
        </w:rPr>
      </w:pPr>
      <w:r>
        <w:rPr>
          <w:rFonts w:hint="eastAsia" w:ascii="仿宋_GB2312" w:hAnsi="仿宋_GB2312" w:eastAsia="仿宋_GB2312" w:cs="仿宋_GB2312"/>
          <w:color w:val="000000"/>
          <w:sz w:val="22"/>
        </w:rPr>
        <w:t xml:space="preserve">甲方：                             </w:t>
      </w:r>
    </w:p>
    <w:p w14:paraId="7A1BB917">
      <w:pPr>
        <w:spacing w:line="360" w:lineRule="auto"/>
        <w:rPr>
          <w:rFonts w:ascii="仿宋_GB2312" w:hAnsi="仿宋_GB2312" w:eastAsia="仿宋_GB2312" w:cs="仿宋_GB2312"/>
          <w:color w:val="FF0000"/>
          <w:sz w:val="22"/>
          <w:u w:val="single"/>
        </w:rPr>
      </w:pPr>
      <w:r>
        <w:rPr>
          <w:rFonts w:hint="eastAsia" w:ascii="仿宋_GB2312" w:hAnsi="仿宋_GB2312" w:eastAsia="仿宋_GB2312" w:cs="仿宋_GB2312"/>
          <w:color w:val="000000"/>
          <w:sz w:val="22"/>
        </w:rPr>
        <w:t>乙方： 中国</w:t>
      </w:r>
      <w:r>
        <w:rPr>
          <w:rFonts w:ascii="仿宋_GB2312" w:hAnsi="仿宋_GB2312" w:eastAsia="仿宋_GB2312" w:cs="仿宋_GB2312"/>
          <w:color w:val="000000"/>
          <w:sz w:val="22"/>
        </w:rPr>
        <w:t>质量认证中心南京分中心</w:t>
      </w:r>
    </w:p>
    <w:p w14:paraId="6B32E989">
      <w:pPr>
        <w:ind w:firstLine="440" w:firstLineChars="200"/>
        <w:jc w:val="left"/>
        <w:rPr>
          <w:rFonts w:hint="eastAsia" w:ascii="仿宋" w:hAnsi="仿宋" w:eastAsia="仿宋" w:cs="仿宋"/>
          <w:sz w:val="22"/>
          <w:szCs w:val="22"/>
        </w:rPr>
      </w:pPr>
    </w:p>
    <w:p w14:paraId="7D57C694">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鉴于甲方（“申请方”）信赖乙方的评价体系和管理模式，并自愿向乙方提交评价申请文件，现依据《中华人民共和国民法典》《中华人民共和国标准化法》等相关法律法规，经平等、自愿协商一致，双方就乙方受甲方委托，为</w:t>
      </w:r>
      <w:r>
        <w:rPr>
          <w:rFonts w:hint="eastAsia" w:ascii="仿宋" w:hAnsi="仿宋" w:eastAsia="仿宋" w:cs="仿宋"/>
          <w:sz w:val="22"/>
          <w:szCs w:val="22"/>
          <w:lang w:val="en-US" w:eastAsia="zh-CN"/>
        </w:rPr>
        <w:t>甲方</w:t>
      </w:r>
      <w:r>
        <w:rPr>
          <w:rFonts w:hint="eastAsia" w:ascii="仿宋" w:hAnsi="仿宋" w:eastAsia="仿宋" w:cs="仿宋"/>
          <w:sz w:val="22"/>
          <w:szCs w:val="22"/>
        </w:rPr>
        <w:t>提供企业</w:t>
      </w:r>
      <w:r>
        <w:rPr>
          <w:rFonts w:hint="eastAsia" w:ascii="仿宋" w:hAnsi="仿宋" w:eastAsia="仿宋" w:cs="仿宋"/>
          <w:sz w:val="22"/>
          <w:szCs w:val="22"/>
          <w:lang w:eastAsia="zh-CN"/>
        </w:rPr>
        <w:t>人工智能高质量数据集评价</w:t>
      </w:r>
      <w:r>
        <w:rPr>
          <w:rFonts w:hint="eastAsia" w:ascii="仿宋" w:hAnsi="仿宋" w:eastAsia="仿宋" w:cs="仿宋"/>
          <w:sz w:val="22"/>
          <w:szCs w:val="22"/>
        </w:rPr>
        <w:t>之具体事宜达成本合同，以资各方共同遵守。</w:t>
      </w:r>
    </w:p>
    <w:p w14:paraId="2401B31B">
      <w:pPr>
        <w:ind w:firstLine="440" w:firstLineChars="200"/>
        <w:rPr>
          <w:rFonts w:hint="eastAsia" w:ascii="仿宋" w:hAnsi="仿宋" w:eastAsia="仿宋" w:cs="仿宋"/>
          <w:sz w:val="22"/>
          <w:szCs w:val="22"/>
        </w:rPr>
      </w:pPr>
      <w:r>
        <w:rPr>
          <w:rFonts w:hint="eastAsia" w:ascii="仿宋" w:hAnsi="仿宋" w:eastAsia="仿宋" w:cs="仿宋"/>
          <w:sz w:val="22"/>
          <w:szCs w:val="22"/>
        </w:rPr>
        <w:t>本合同项下甲方和乙方单独称为“</w:t>
      </w:r>
      <w:r>
        <w:rPr>
          <w:rFonts w:hint="eastAsia" w:ascii="仿宋" w:hAnsi="仿宋" w:eastAsia="仿宋" w:cs="仿宋"/>
          <w:b/>
          <w:sz w:val="22"/>
          <w:szCs w:val="22"/>
        </w:rPr>
        <w:t>一方</w:t>
      </w:r>
      <w:r>
        <w:rPr>
          <w:rFonts w:hint="eastAsia" w:ascii="仿宋" w:hAnsi="仿宋" w:eastAsia="仿宋" w:cs="仿宋"/>
          <w:sz w:val="22"/>
          <w:szCs w:val="22"/>
        </w:rPr>
        <w:t>”，合称为“</w:t>
      </w:r>
      <w:r>
        <w:rPr>
          <w:rFonts w:hint="eastAsia" w:ascii="仿宋" w:hAnsi="仿宋" w:eastAsia="仿宋" w:cs="仿宋"/>
          <w:b/>
          <w:sz w:val="22"/>
          <w:szCs w:val="22"/>
        </w:rPr>
        <w:t>双方</w:t>
      </w:r>
      <w:r>
        <w:rPr>
          <w:rFonts w:hint="eastAsia" w:ascii="仿宋" w:hAnsi="仿宋" w:eastAsia="仿宋" w:cs="仿宋"/>
          <w:sz w:val="22"/>
          <w:szCs w:val="22"/>
        </w:rPr>
        <w:t>”或“</w:t>
      </w:r>
      <w:r>
        <w:rPr>
          <w:rFonts w:hint="eastAsia" w:ascii="仿宋" w:hAnsi="仿宋" w:eastAsia="仿宋" w:cs="仿宋"/>
          <w:b/>
          <w:sz w:val="22"/>
          <w:szCs w:val="22"/>
        </w:rPr>
        <w:t>各方</w:t>
      </w:r>
      <w:r>
        <w:rPr>
          <w:rFonts w:hint="eastAsia" w:ascii="仿宋" w:hAnsi="仿宋" w:eastAsia="仿宋" w:cs="仿宋"/>
          <w:sz w:val="22"/>
          <w:szCs w:val="22"/>
        </w:rPr>
        <w:t>”。</w:t>
      </w:r>
    </w:p>
    <w:p w14:paraId="1F95496C">
      <w:pPr>
        <w:rPr>
          <w:rFonts w:hint="eastAsia" w:ascii="仿宋" w:hAnsi="仿宋" w:eastAsia="仿宋" w:cs="仿宋"/>
          <w:b/>
          <w:sz w:val="22"/>
          <w:szCs w:val="22"/>
        </w:rPr>
      </w:pPr>
      <w:r>
        <w:rPr>
          <w:rFonts w:hint="eastAsia" w:ascii="仿宋" w:hAnsi="仿宋" w:eastAsia="仿宋" w:cs="仿宋"/>
          <w:b/>
          <w:sz w:val="22"/>
          <w:szCs w:val="22"/>
        </w:rPr>
        <w:t>1 评价范围</w:t>
      </w:r>
    </w:p>
    <w:p w14:paraId="4E906D59">
      <w:pPr>
        <w:ind w:left="220" w:leftChars="100" w:hanging="10"/>
        <w:rPr>
          <w:rFonts w:hint="eastAsia" w:ascii="仿宋" w:hAnsi="仿宋" w:eastAsia="仿宋" w:cs="仿宋"/>
          <w:sz w:val="22"/>
          <w:szCs w:val="22"/>
        </w:rPr>
      </w:pPr>
      <w:r>
        <w:rPr>
          <w:rFonts w:hint="eastAsia" w:ascii="仿宋" w:hAnsi="仿宋" w:eastAsia="仿宋" w:cs="仿宋"/>
          <w:sz w:val="22"/>
          <w:szCs w:val="22"/>
        </w:rPr>
        <w:t>甲方委托乙方进行【</w:t>
      </w:r>
      <w:r>
        <w:rPr>
          <w:rFonts w:hint="eastAsia" w:ascii="仿宋" w:hAnsi="仿宋" w:eastAsia="仿宋" w:cs="仿宋"/>
          <w:sz w:val="22"/>
          <w:szCs w:val="22"/>
          <w:u w:val="single"/>
        </w:rPr>
        <w:t>人工智能高质量数据集评价</w:t>
      </w:r>
      <w:r>
        <w:rPr>
          <w:rFonts w:hint="eastAsia" w:ascii="仿宋" w:hAnsi="仿宋" w:eastAsia="仿宋" w:cs="仿宋"/>
          <w:sz w:val="22"/>
          <w:szCs w:val="22"/>
        </w:rPr>
        <w:t>】（以下简称</w:t>
      </w:r>
      <w:r>
        <w:rPr>
          <w:rFonts w:hint="eastAsia" w:ascii="仿宋" w:hAnsi="仿宋" w:eastAsia="仿宋" w:cs="仿宋"/>
          <w:b/>
          <w:bCs/>
          <w:sz w:val="22"/>
          <w:szCs w:val="22"/>
        </w:rPr>
        <w:t>“评价”</w:t>
      </w:r>
      <w:r>
        <w:rPr>
          <w:rFonts w:hint="eastAsia" w:ascii="仿宋" w:hAnsi="仿宋" w:eastAsia="仿宋" w:cs="仿宋"/>
          <w:sz w:val="22"/>
          <w:szCs w:val="22"/>
        </w:rPr>
        <w:t>）。</w:t>
      </w:r>
    </w:p>
    <w:p w14:paraId="3DFF4402">
      <w:pPr>
        <w:rPr>
          <w:rFonts w:hint="eastAsia" w:ascii="仿宋" w:hAnsi="仿宋" w:eastAsia="仿宋" w:cs="仿宋"/>
          <w:sz w:val="22"/>
          <w:szCs w:val="22"/>
        </w:rPr>
      </w:pPr>
      <w:r>
        <w:rPr>
          <w:rFonts w:hint="eastAsia" w:ascii="仿宋" w:hAnsi="仿宋" w:eastAsia="仿宋" w:cs="仿宋"/>
          <w:b/>
          <w:sz w:val="22"/>
          <w:szCs w:val="22"/>
        </w:rPr>
        <w:t>2 评价费用</w:t>
      </w:r>
      <w:r>
        <w:rPr>
          <w:rFonts w:hint="eastAsia" w:ascii="仿宋" w:hAnsi="仿宋" w:eastAsia="仿宋" w:cs="仿宋"/>
          <w:sz w:val="22"/>
          <w:szCs w:val="22"/>
        </w:rPr>
        <w:t xml:space="preserve">  </w:t>
      </w:r>
    </w:p>
    <w:p w14:paraId="2EFDA47F">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1</w:t>
      </w:r>
      <w:r>
        <w:rPr>
          <w:rFonts w:hint="eastAsia" w:ascii="仿宋" w:hAnsi="仿宋" w:eastAsia="仿宋" w:cs="仿宋"/>
          <w:sz w:val="22"/>
          <w:szCs w:val="22"/>
        </w:rPr>
        <w:t>在具体开展评价工作时，若</w:t>
      </w:r>
      <w:r>
        <w:rPr>
          <w:rFonts w:hint="eastAsia" w:ascii="仿宋" w:hAnsi="仿宋" w:eastAsia="仿宋" w:cs="仿宋"/>
          <w:sz w:val="22"/>
          <w:szCs w:val="22"/>
          <w:lang w:eastAsia="zh-CN"/>
        </w:rPr>
        <w:t>甲方</w:t>
      </w:r>
      <w:r>
        <w:rPr>
          <w:rFonts w:hint="eastAsia" w:ascii="仿宋" w:hAnsi="仿宋" w:eastAsia="仿宋" w:cs="仿宋"/>
          <w:sz w:val="22"/>
          <w:szCs w:val="22"/>
        </w:rPr>
        <w:t>实际情况与其所提供的资料不一致时，乙方可拒绝履行原合同，并根据该实际情况相应调整评价费用，并告知甲方，双方另行签署文件进行确认。</w:t>
      </w:r>
    </w:p>
    <w:p w14:paraId="7B366165">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2</w:t>
      </w:r>
      <w:r>
        <w:rPr>
          <w:rFonts w:hint="eastAsia" w:ascii="仿宋" w:hAnsi="仿宋" w:eastAsia="仿宋" w:cs="仿宋"/>
          <w:b/>
          <w:sz w:val="22"/>
          <w:szCs w:val="22"/>
        </w:rPr>
        <w:t>如因</w:t>
      </w:r>
      <w:r>
        <w:rPr>
          <w:rFonts w:hint="eastAsia" w:ascii="仿宋" w:hAnsi="仿宋" w:eastAsia="仿宋" w:cs="仿宋"/>
          <w:b/>
          <w:sz w:val="22"/>
          <w:szCs w:val="22"/>
          <w:lang w:eastAsia="zh-CN"/>
        </w:rPr>
        <w:t>甲方</w:t>
      </w:r>
      <w:r>
        <w:rPr>
          <w:rFonts w:hint="eastAsia" w:ascii="仿宋" w:hAnsi="仿宋" w:eastAsia="仿宋" w:cs="仿宋"/>
          <w:b/>
          <w:sz w:val="22"/>
          <w:szCs w:val="22"/>
        </w:rPr>
        <w:t>原因放弃、中止本次评价，已经发生的评价活动及正在进行的评价活动所产生的评价费用，乙方不予退还；</w:t>
      </w:r>
    </w:p>
    <w:p w14:paraId="1E1AD995">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3</w:t>
      </w:r>
      <w:r>
        <w:rPr>
          <w:rFonts w:hint="eastAsia" w:ascii="仿宋" w:hAnsi="仿宋" w:eastAsia="仿宋" w:cs="仿宋"/>
          <w:sz w:val="22"/>
          <w:szCs w:val="22"/>
        </w:rPr>
        <w:t>在</w:t>
      </w:r>
      <w:r>
        <w:rPr>
          <w:rFonts w:hint="eastAsia" w:ascii="仿宋" w:hAnsi="仿宋" w:eastAsia="仿宋" w:cs="仿宋"/>
          <w:sz w:val="22"/>
          <w:szCs w:val="22"/>
          <w:lang w:eastAsia="zh-CN"/>
        </w:rPr>
        <w:t>甲方</w:t>
      </w:r>
      <w:r>
        <w:rPr>
          <w:rFonts w:hint="eastAsia" w:ascii="仿宋" w:hAnsi="仿宋" w:eastAsia="仿宋" w:cs="仿宋"/>
          <w:sz w:val="22"/>
          <w:szCs w:val="22"/>
        </w:rPr>
        <w:t>未按照约定的期限足额支付有关评价费用，自应付费用之日起满【15】日后，乙方享有随时暂停或终止本合同的权利。</w:t>
      </w:r>
    </w:p>
    <w:p w14:paraId="749617FE">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4</w:t>
      </w:r>
      <w:r>
        <w:rPr>
          <w:rFonts w:hint="eastAsia" w:ascii="仿宋" w:hAnsi="仿宋" w:eastAsia="仿宋" w:cs="仿宋"/>
          <w:sz w:val="22"/>
          <w:szCs w:val="22"/>
        </w:rPr>
        <w:t>若在获得评价证书后，</w:t>
      </w:r>
      <w:r>
        <w:rPr>
          <w:rFonts w:hint="eastAsia" w:ascii="仿宋" w:hAnsi="仿宋" w:eastAsia="仿宋" w:cs="仿宋"/>
          <w:sz w:val="22"/>
          <w:szCs w:val="22"/>
          <w:lang w:eastAsia="zh-CN"/>
        </w:rPr>
        <w:t>甲方</w:t>
      </w:r>
      <w:r>
        <w:rPr>
          <w:rFonts w:hint="eastAsia" w:ascii="仿宋" w:hAnsi="仿宋" w:eastAsia="仿宋" w:cs="仿宋"/>
          <w:sz w:val="22"/>
          <w:szCs w:val="22"/>
        </w:rPr>
        <w:t>仍未按照</w:t>
      </w:r>
      <w:r>
        <w:rPr>
          <w:rFonts w:hint="eastAsia" w:ascii="仿宋" w:hAnsi="仿宋" w:eastAsia="仿宋" w:cs="仿宋"/>
          <w:sz w:val="22"/>
          <w:szCs w:val="22"/>
          <w:lang w:eastAsia="zh-CN"/>
        </w:rPr>
        <w:t>相应</w:t>
      </w:r>
      <w:r>
        <w:rPr>
          <w:rFonts w:hint="eastAsia" w:ascii="仿宋" w:hAnsi="仿宋" w:eastAsia="仿宋" w:cs="仿宋"/>
          <w:sz w:val="22"/>
          <w:szCs w:val="22"/>
        </w:rPr>
        <w:t>合同约定支付完评价费用及违约金的，乙方有权暂停直至撤销</w:t>
      </w:r>
      <w:r>
        <w:rPr>
          <w:rFonts w:hint="eastAsia" w:ascii="仿宋" w:hAnsi="仿宋" w:eastAsia="仿宋" w:cs="仿宋"/>
          <w:sz w:val="22"/>
          <w:szCs w:val="22"/>
          <w:lang w:eastAsia="zh-CN"/>
        </w:rPr>
        <w:t>甲方</w:t>
      </w:r>
      <w:r>
        <w:rPr>
          <w:rFonts w:hint="eastAsia" w:ascii="仿宋" w:hAnsi="仿宋" w:eastAsia="仿宋" w:cs="仿宋"/>
          <w:sz w:val="22"/>
          <w:szCs w:val="22"/>
        </w:rPr>
        <w:t>的评价证书，并要求</w:t>
      </w:r>
      <w:r>
        <w:rPr>
          <w:rFonts w:hint="eastAsia" w:ascii="仿宋" w:hAnsi="仿宋" w:eastAsia="仿宋" w:cs="仿宋"/>
          <w:sz w:val="22"/>
          <w:szCs w:val="22"/>
          <w:lang w:eastAsia="zh-CN"/>
        </w:rPr>
        <w:t>甲方</w:t>
      </w:r>
      <w:r>
        <w:rPr>
          <w:rFonts w:hint="eastAsia" w:ascii="仿宋" w:hAnsi="仿宋" w:eastAsia="仿宋" w:cs="仿宋"/>
          <w:sz w:val="22"/>
          <w:szCs w:val="22"/>
        </w:rPr>
        <w:t>停止使用并交还相关的评价证书，停止使用评价标志。</w:t>
      </w:r>
    </w:p>
    <w:p w14:paraId="382CCA7C">
      <w:pPr>
        <w:rPr>
          <w:rFonts w:hint="eastAsia" w:ascii="仿宋" w:hAnsi="仿宋" w:eastAsia="仿宋" w:cs="仿宋"/>
          <w:b/>
          <w:sz w:val="22"/>
          <w:szCs w:val="22"/>
        </w:rPr>
      </w:pPr>
      <w:r>
        <w:rPr>
          <w:rFonts w:hint="eastAsia" w:ascii="仿宋" w:hAnsi="仿宋" w:eastAsia="仿宋" w:cs="仿宋"/>
          <w:b/>
          <w:sz w:val="22"/>
          <w:szCs w:val="22"/>
        </w:rPr>
        <w:t xml:space="preserve">3 </w:t>
      </w:r>
      <w:r>
        <w:rPr>
          <w:rFonts w:hint="eastAsia" w:ascii="仿宋" w:hAnsi="仿宋" w:eastAsia="仿宋" w:cs="仿宋"/>
          <w:b/>
          <w:sz w:val="22"/>
          <w:szCs w:val="22"/>
          <w:lang w:eastAsia="zh-CN"/>
        </w:rPr>
        <w:t>甲方</w:t>
      </w:r>
      <w:r>
        <w:rPr>
          <w:rFonts w:hint="eastAsia" w:ascii="仿宋" w:hAnsi="仿宋" w:eastAsia="仿宋" w:cs="仿宋"/>
          <w:b/>
          <w:sz w:val="22"/>
          <w:szCs w:val="22"/>
        </w:rPr>
        <w:t>的权利</w:t>
      </w:r>
    </w:p>
    <w:p w14:paraId="1AA81795">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3.1有权获得乙方提供的客观独立、公开公正、诚实信用的评价服务。</w:t>
      </w:r>
    </w:p>
    <w:p w14:paraId="326CEE8E">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3.2要求乙方提供评价所需的公开文件、评价申请文件。</w:t>
      </w:r>
    </w:p>
    <w:p w14:paraId="0AD953E0">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3.3在评价证书有效期内，当证书对应的技术持续满足评价要求的，可以按照评价技术文件（相应评价标准/技术规范、评价管理文件）、乙方的宣传文件等相关要求正确使用评价证书和/或评价标志。</w:t>
      </w:r>
    </w:p>
    <w:p w14:paraId="40D96B22">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3.4按照乙方《申诉、投诉和争议管理程序》向乙方提出争议、申诉、投诉。</w:t>
      </w:r>
    </w:p>
    <w:p w14:paraId="18B33E95">
      <w:pPr>
        <w:rPr>
          <w:rFonts w:hint="eastAsia" w:ascii="仿宋" w:hAnsi="仿宋" w:eastAsia="仿宋" w:cs="仿宋"/>
          <w:b/>
          <w:sz w:val="22"/>
          <w:szCs w:val="22"/>
        </w:rPr>
      </w:pPr>
      <w:r>
        <w:rPr>
          <w:rFonts w:hint="eastAsia" w:ascii="仿宋" w:hAnsi="仿宋" w:eastAsia="仿宋" w:cs="仿宋"/>
          <w:b/>
          <w:sz w:val="22"/>
          <w:szCs w:val="22"/>
        </w:rPr>
        <w:t>4 乙方的权利</w:t>
      </w:r>
    </w:p>
    <w:p w14:paraId="62196090">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4.1乙方对</w:t>
      </w:r>
      <w:r>
        <w:rPr>
          <w:rFonts w:hint="eastAsia" w:ascii="仿宋" w:hAnsi="仿宋" w:eastAsia="仿宋" w:cs="仿宋"/>
          <w:sz w:val="22"/>
          <w:szCs w:val="22"/>
          <w:lang w:val="en-US" w:eastAsia="zh-CN"/>
        </w:rPr>
        <w:t>甲方</w:t>
      </w:r>
      <w:r>
        <w:rPr>
          <w:rFonts w:hint="eastAsia" w:ascii="仿宋" w:hAnsi="仿宋" w:eastAsia="仿宋" w:cs="仿宋"/>
          <w:sz w:val="22"/>
          <w:szCs w:val="22"/>
        </w:rPr>
        <w:t>不承担担保责任。如被证实</w:t>
      </w:r>
      <w:r>
        <w:rPr>
          <w:rFonts w:hint="eastAsia" w:ascii="仿宋" w:hAnsi="仿宋" w:eastAsia="仿宋" w:cs="仿宋"/>
          <w:sz w:val="22"/>
          <w:szCs w:val="22"/>
          <w:lang w:val="en-US" w:eastAsia="zh-CN"/>
        </w:rPr>
        <w:t>甲方</w:t>
      </w:r>
      <w:r>
        <w:rPr>
          <w:rFonts w:hint="eastAsia" w:ascii="仿宋" w:hAnsi="仿宋" w:eastAsia="仿宋" w:cs="仿宋"/>
          <w:sz w:val="22"/>
          <w:szCs w:val="22"/>
        </w:rPr>
        <w:t>存在以下情形之一的，乙方有权不予批准其评价，评价终止。</w:t>
      </w:r>
    </w:p>
    <w:p w14:paraId="4164E230">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（1）提供虚假信息，或有其它不诚信行为的；</w:t>
      </w:r>
    </w:p>
    <w:p w14:paraId="36AAB57B">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（2）乙方对评价资料（包括申请资料、评价报告等）进行综合评价与审核后，评价结果不</w:t>
      </w:r>
      <w:r>
        <w:rPr>
          <w:rFonts w:hint="eastAsia" w:ascii="仿宋" w:hAnsi="仿宋" w:eastAsia="仿宋" w:cs="仿宋"/>
          <w:sz w:val="22"/>
          <w:szCs w:val="22"/>
          <w:lang w:eastAsia="zh-CN"/>
        </w:rPr>
        <w:t>通过</w:t>
      </w:r>
      <w:r>
        <w:rPr>
          <w:rFonts w:hint="eastAsia" w:ascii="仿宋" w:hAnsi="仿宋" w:eastAsia="仿宋" w:cs="仿宋"/>
          <w:sz w:val="22"/>
          <w:szCs w:val="22"/>
        </w:rPr>
        <w:t>的；</w:t>
      </w:r>
    </w:p>
    <w:p w14:paraId="1723338C">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（3）其他经乙方评估不予批准评价的情形。</w:t>
      </w:r>
    </w:p>
    <w:p w14:paraId="6497B56D">
      <w:pPr>
        <w:rPr>
          <w:rFonts w:hint="eastAsia" w:ascii="仿宋" w:hAnsi="仿宋" w:eastAsia="仿宋" w:cs="仿宋"/>
          <w:b/>
          <w:sz w:val="22"/>
          <w:szCs w:val="22"/>
        </w:rPr>
      </w:pPr>
      <w:r>
        <w:rPr>
          <w:rFonts w:hint="eastAsia" w:ascii="仿宋" w:hAnsi="仿宋" w:eastAsia="仿宋" w:cs="仿宋"/>
          <w:b/>
          <w:sz w:val="22"/>
          <w:szCs w:val="22"/>
        </w:rPr>
        <w:t xml:space="preserve">5 </w:t>
      </w:r>
      <w:r>
        <w:rPr>
          <w:rFonts w:hint="eastAsia" w:ascii="仿宋" w:hAnsi="仿宋" w:eastAsia="仿宋" w:cs="仿宋"/>
          <w:b/>
          <w:sz w:val="22"/>
          <w:szCs w:val="22"/>
          <w:lang w:val="en-US" w:eastAsia="zh-CN"/>
        </w:rPr>
        <w:t>甲方</w:t>
      </w:r>
      <w:r>
        <w:rPr>
          <w:rFonts w:hint="eastAsia" w:ascii="仿宋" w:hAnsi="仿宋" w:eastAsia="仿宋" w:cs="仿宋"/>
          <w:b/>
          <w:sz w:val="22"/>
          <w:szCs w:val="22"/>
        </w:rPr>
        <w:t>义务</w:t>
      </w:r>
    </w:p>
    <w:p w14:paraId="1746CE17">
      <w:pPr>
        <w:ind w:left="540" w:leftChars="100" w:hanging="330" w:hangingChars="150"/>
        <w:rPr>
          <w:rFonts w:hint="eastAsia" w:ascii="仿宋" w:hAnsi="仿宋" w:eastAsia="仿宋" w:cs="仿宋"/>
          <w:sz w:val="22"/>
          <w:szCs w:val="22"/>
          <w:lang w:val="en-US" w:eastAsia="zh-CN"/>
        </w:rPr>
      </w:pPr>
      <w:r>
        <w:rPr>
          <w:rFonts w:hint="eastAsia" w:ascii="仿宋" w:hAnsi="仿宋" w:eastAsia="仿宋" w:cs="仿宋"/>
          <w:sz w:val="22"/>
          <w:szCs w:val="22"/>
        </w:rPr>
        <w:t>始终遵守</w:t>
      </w:r>
      <w:r>
        <w:rPr>
          <w:rFonts w:hint="eastAsia" w:ascii="仿宋" w:hAnsi="仿宋" w:eastAsia="仿宋" w:cs="仿宋"/>
          <w:sz w:val="22"/>
          <w:szCs w:val="22"/>
          <w:lang w:val="en-US" w:eastAsia="zh-CN"/>
        </w:rPr>
        <w:t>以下义务：</w:t>
      </w:r>
    </w:p>
    <w:p w14:paraId="55A13585">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5.1严格执行评价所适用的相关标准或技术规范、乙方制定的评价管理文件，以及自身的管理文件和/或技术要求文件；并关注相关文件的修订情况，保证按照现行有效的最新版文件要求执行。</w:t>
      </w:r>
    </w:p>
    <w:p w14:paraId="02A2DEC9">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5.2保证评价对象</w:t>
      </w:r>
      <w:r>
        <w:rPr>
          <w:rFonts w:hint="eastAsia" w:ascii="仿宋" w:hAnsi="仿宋" w:eastAsia="仿宋" w:cs="仿宋"/>
          <w:sz w:val="22"/>
          <w:szCs w:val="22"/>
          <w:vertAlign w:val="superscript"/>
        </w:rPr>
        <w:footnoteReference w:id="0"/>
      </w:r>
      <w:r>
        <w:rPr>
          <w:rFonts w:hint="eastAsia" w:ascii="仿宋" w:hAnsi="仿宋" w:eastAsia="仿宋" w:cs="仿宋"/>
          <w:sz w:val="22"/>
          <w:szCs w:val="22"/>
        </w:rPr>
        <w:t xml:space="preserve"> 持续具备相关法定资质、资格。</w:t>
      </w:r>
    </w:p>
    <w:p w14:paraId="2280B1D1">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5.3遵守并始终满足评价要求，包括当收到乙方有关评价管理文件新的或修订的通知时做出适当变更；保证持续满足评价要求。</w:t>
      </w:r>
    </w:p>
    <w:p w14:paraId="30C505B0">
      <w:pPr>
        <w:tabs>
          <w:tab w:val="left" w:pos="8400"/>
        </w:tabs>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5.4应确保在评价证书有效期内，持续满足评价方案列出的标准或评价管理文件等规范性文件规定的、与评价直接相关的要求。</w:t>
      </w:r>
    </w:p>
    <w:p w14:paraId="2B226793">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5.5按照要求向乙方提供加盖</w:t>
      </w:r>
      <w:r>
        <w:rPr>
          <w:rFonts w:hint="eastAsia" w:ascii="仿宋" w:hAnsi="仿宋" w:eastAsia="仿宋" w:cs="仿宋"/>
          <w:sz w:val="22"/>
          <w:szCs w:val="22"/>
          <w:lang w:eastAsia="zh-CN"/>
        </w:rPr>
        <w:t>甲方</w:t>
      </w:r>
      <w:r>
        <w:rPr>
          <w:rFonts w:hint="eastAsia" w:ascii="仿宋" w:hAnsi="仿宋" w:eastAsia="仿宋" w:cs="仿宋"/>
          <w:sz w:val="22"/>
          <w:szCs w:val="22"/>
        </w:rPr>
        <w:t>公章的评价申请文件，并对该文件内容的真实、准确、完整且有效承担法律责任。</w:t>
      </w:r>
    </w:p>
    <w:p w14:paraId="474D65C8">
      <w:pPr>
        <w:ind w:left="536" w:leftChars="98" w:hanging="330" w:hangingChars="150"/>
        <w:rPr>
          <w:rFonts w:hint="eastAsia" w:ascii="仿宋" w:hAnsi="仿宋" w:eastAsia="仿宋" w:cs="仿宋"/>
          <w:sz w:val="22"/>
          <w:szCs w:val="22"/>
        </w:rPr>
      </w:pPr>
      <w:r>
        <w:rPr>
          <w:rFonts w:hint="eastAsia" w:ascii="仿宋" w:hAnsi="仿宋" w:eastAsia="仿宋" w:cs="仿宋"/>
          <w:sz w:val="22"/>
          <w:szCs w:val="22"/>
        </w:rPr>
        <w:t>5.6为评价组提供通讯、办公场所及其它必要的工作条件，以保证乙方评价工作顺利开展。为乙方进行评价、监督或申诉、投诉等调查做出必要的安排，包括提供相关评价所需文件、为进入评价所涉及的所有区域/场所、调阅有关记录、访问</w:t>
      </w:r>
      <w:r>
        <w:rPr>
          <w:rFonts w:hint="eastAsia" w:ascii="仿宋" w:hAnsi="仿宋" w:eastAsia="仿宋" w:cs="仿宋"/>
          <w:sz w:val="22"/>
          <w:szCs w:val="22"/>
          <w:lang w:eastAsia="zh-CN"/>
        </w:rPr>
        <w:t>甲方</w:t>
      </w:r>
      <w:r>
        <w:rPr>
          <w:rFonts w:hint="eastAsia" w:ascii="仿宋" w:hAnsi="仿宋" w:eastAsia="仿宋" w:cs="仿宋"/>
          <w:sz w:val="22"/>
          <w:szCs w:val="22"/>
        </w:rPr>
        <w:t>相关人员及</w:t>
      </w:r>
      <w:r>
        <w:rPr>
          <w:rFonts w:hint="eastAsia" w:ascii="仿宋" w:hAnsi="仿宋" w:eastAsia="仿宋" w:cs="仿宋"/>
          <w:sz w:val="22"/>
          <w:szCs w:val="22"/>
          <w:lang w:eastAsia="zh-CN"/>
        </w:rPr>
        <w:t>甲方</w:t>
      </w:r>
      <w:r>
        <w:rPr>
          <w:rFonts w:hint="eastAsia" w:ascii="仿宋" w:hAnsi="仿宋" w:eastAsia="仿宋" w:cs="仿宋"/>
          <w:sz w:val="22"/>
          <w:szCs w:val="22"/>
        </w:rPr>
        <w:t>相关方提供便利，确保乙方上述工作顺利开展。</w:t>
      </w:r>
    </w:p>
    <w:p w14:paraId="2264CF56">
      <w:pPr>
        <w:ind w:left="536" w:leftChars="98" w:hanging="330" w:hangingChars="150"/>
        <w:rPr>
          <w:rFonts w:hint="eastAsia" w:ascii="仿宋" w:hAnsi="仿宋" w:eastAsia="仿宋" w:cs="仿宋"/>
          <w:sz w:val="22"/>
          <w:szCs w:val="22"/>
        </w:rPr>
      </w:pPr>
      <w:r>
        <w:rPr>
          <w:rFonts w:hint="eastAsia" w:ascii="仿宋" w:hAnsi="仿宋" w:eastAsia="仿宋" w:cs="仿宋"/>
          <w:sz w:val="22"/>
          <w:szCs w:val="22"/>
        </w:rPr>
        <w:t>5.7在评价过程中，指定陪同人员配合现场评价，指定人员配合完成问卷调查等活动的组织实施等。</w:t>
      </w:r>
    </w:p>
    <w:p w14:paraId="4CDC59DC">
      <w:pPr>
        <w:ind w:left="534" w:leftChars="97" w:hanging="330" w:hangingChars="150"/>
        <w:rPr>
          <w:rFonts w:hint="eastAsia" w:ascii="仿宋" w:hAnsi="仿宋" w:eastAsia="仿宋" w:cs="仿宋"/>
          <w:sz w:val="22"/>
          <w:szCs w:val="22"/>
        </w:rPr>
      </w:pPr>
      <w:r>
        <w:rPr>
          <w:rFonts w:hint="eastAsia" w:ascii="仿宋" w:hAnsi="仿宋" w:eastAsia="仿宋" w:cs="仿宋"/>
          <w:sz w:val="22"/>
          <w:szCs w:val="22"/>
        </w:rPr>
        <w:t>5.</w:t>
      </w:r>
      <w:r>
        <w:rPr>
          <w:rFonts w:hint="eastAsia" w:ascii="仿宋" w:hAnsi="仿宋" w:eastAsia="仿宋" w:cs="仿宋"/>
          <w:sz w:val="22"/>
          <w:szCs w:val="22"/>
          <w:lang w:val="en-US" w:eastAsia="zh-CN"/>
        </w:rPr>
        <w:t>8</w:t>
      </w:r>
      <w:r>
        <w:rPr>
          <w:rFonts w:hint="eastAsia" w:ascii="仿宋" w:hAnsi="仿宋" w:eastAsia="仿宋" w:cs="仿宋"/>
          <w:sz w:val="22"/>
          <w:szCs w:val="22"/>
        </w:rPr>
        <w:t>建立信息通报制度。在评价证书有效期内，</w:t>
      </w:r>
      <w:r>
        <w:rPr>
          <w:rFonts w:hint="eastAsia" w:ascii="仿宋" w:hAnsi="仿宋" w:eastAsia="仿宋" w:cs="仿宋"/>
          <w:sz w:val="22"/>
          <w:szCs w:val="22"/>
          <w:lang w:eastAsia="zh-CN"/>
        </w:rPr>
        <w:t>甲方</w:t>
      </w:r>
      <w:r>
        <w:rPr>
          <w:rFonts w:hint="eastAsia" w:ascii="仿宋" w:hAnsi="仿宋" w:eastAsia="仿宋" w:cs="仿宋"/>
          <w:sz w:val="22"/>
          <w:szCs w:val="22"/>
        </w:rPr>
        <w:t>有下列情形之一的，应自事件发生10个工作日内以书面方式向乙方通报事件相关信息：</w:t>
      </w:r>
    </w:p>
    <w:p w14:paraId="38D698C0">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1）受评价方信息发生重大变更（包括但不限于：相关方的法律地位、生产经营状况、组织机构或所有权发生变更；企业名称、法定代表人、主要的管理/决策人员变更；联系地址发生变化；质量管理体系出现重大变化等情形），评价证书所载内容变更；</w:t>
      </w:r>
    </w:p>
    <w:p w14:paraId="0EC951AF">
      <w:pPr>
        <w:ind w:left="1180" w:leftChars="300" w:hanging="550" w:hangingChars="250"/>
        <w:rPr>
          <w:rFonts w:hint="eastAsia" w:ascii="仿宋" w:hAnsi="仿宋" w:eastAsia="仿宋" w:cs="仿宋"/>
          <w:color w:val="FF0000"/>
          <w:sz w:val="22"/>
          <w:szCs w:val="22"/>
        </w:rPr>
      </w:pPr>
      <w:r>
        <w:rPr>
          <w:rFonts w:hint="eastAsia" w:ascii="仿宋" w:hAnsi="仿宋" w:eastAsia="仿宋" w:cs="仿宋"/>
          <w:sz w:val="22"/>
          <w:szCs w:val="22"/>
        </w:rPr>
        <w:t>（2）受评价方评价相关内容发生重大变更（包括但不限于：相关方的评价范围、评价时提供的证据）；</w:t>
      </w:r>
      <w:r>
        <w:rPr>
          <w:rFonts w:hint="eastAsia" w:ascii="仿宋" w:hAnsi="仿宋" w:eastAsia="仿宋" w:cs="仿宋"/>
          <w:color w:val="FF0000"/>
          <w:sz w:val="22"/>
          <w:szCs w:val="22"/>
        </w:rPr>
        <w:t xml:space="preserve"> </w:t>
      </w:r>
    </w:p>
    <w:p w14:paraId="2B9C7A3A">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（3）因违反国家有关安全管理等方面的相关法律法规受到处罚；</w:t>
      </w:r>
    </w:p>
    <w:p w14:paraId="1F007C12">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（4）其他应当告知的重要信息。</w:t>
      </w:r>
    </w:p>
    <w:p w14:paraId="79FA75F0">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5.10在评价证书有效期内，如果评价证书所载内容变更或评价管理文件规定的其他事项发生变更时，</w:t>
      </w:r>
      <w:r>
        <w:rPr>
          <w:rFonts w:hint="eastAsia" w:ascii="仿宋" w:hAnsi="仿宋" w:eastAsia="仿宋" w:cs="仿宋"/>
          <w:sz w:val="22"/>
          <w:szCs w:val="22"/>
          <w:lang w:eastAsia="zh-CN"/>
        </w:rPr>
        <w:t>甲方</w:t>
      </w:r>
      <w:r>
        <w:rPr>
          <w:rFonts w:hint="eastAsia" w:ascii="仿宋" w:hAnsi="仿宋" w:eastAsia="仿宋" w:cs="仿宋"/>
          <w:sz w:val="22"/>
          <w:szCs w:val="22"/>
        </w:rPr>
        <w:t>应在变更事项发生之日起【30】日内通知乙方，并按乙方要求提出书面变更申请。若未按要求及时进行变更，乙方将有权对该评价证书做出暂停直至撤销的决定，并同时禁止</w:t>
      </w:r>
      <w:r>
        <w:rPr>
          <w:rFonts w:hint="eastAsia" w:ascii="仿宋" w:hAnsi="仿宋" w:eastAsia="仿宋" w:cs="仿宋"/>
          <w:sz w:val="22"/>
          <w:szCs w:val="22"/>
          <w:lang w:eastAsia="zh-CN"/>
        </w:rPr>
        <w:t>甲方</w:t>
      </w:r>
      <w:r>
        <w:rPr>
          <w:rFonts w:hint="eastAsia" w:ascii="仿宋" w:hAnsi="仿宋" w:eastAsia="仿宋" w:cs="仿宋"/>
          <w:sz w:val="22"/>
          <w:szCs w:val="22"/>
        </w:rPr>
        <w:t>使用相关评价证书及评价标志。</w:t>
      </w:r>
    </w:p>
    <w:p w14:paraId="5D878278">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 xml:space="preserve">5.11在评价证书有效期内，接受乙方对其实施的预先通知的评价。 </w:t>
      </w:r>
    </w:p>
    <w:p w14:paraId="0F7D8375">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5.12保存已知的与评价要求符合性有关的所有投诉、抱怨记录，对处理投诉、抱怨以及在使用技术中发现的对符合评价要求有影响的任何缺陷，应采取适当的措施，将所采取的措施予以记录，并在评价机构要求时予以提供。</w:t>
      </w:r>
    </w:p>
    <w:p w14:paraId="288EE34A">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5.13</w:t>
      </w:r>
      <w:r>
        <w:rPr>
          <w:rFonts w:hint="eastAsia" w:ascii="仿宋" w:hAnsi="仿宋" w:eastAsia="仿宋" w:cs="仿宋"/>
          <w:sz w:val="22"/>
          <w:szCs w:val="22"/>
          <w:lang w:eastAsia="zh-CN"/>
        </w:rPr>
        <w:t>甲方</w:t>
      </w:r>
      <w:r>
        <w:rPr>
          <w:rFonts w:hint="eastAsia" w:ascii="仿宋" w:hAnsi="仿宋" w:eastAsia="仿宋" w:cs="仿宋"/>
          <w:sz w:val="22"/>
          <w:szCs w:val="22"/>
        </w:rPr>
        <w:t>应严格遵守乙方评价管理文件中有关证书和标志的规定，不得以损害乙方声誉的方式使用评价的结果，不得做出使乙方认为可能误导或未经授权的有关评价的声明。</w:t>
      </w:r>
    </w:p>
    <w:p w14:paraId="2127D598">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5.14在获得评价证书后，</w:t>
      </w:r>
      <w:r>
        <w:rPr>
          <w:rFonts w:hint="eastAsia" w:ascii="仿宋" w:hAnsi="仿宋" w:eastAsia="仿宋" w:cs="仿宋"/>
          <w:sz w:val="22"/>
          <w:szCs w:val="22"/>
          <w:lang w:eastAsia="zh-CN"/>
        </w:rPr>
        <w:t>甲方</w:t>
      </w:r>
      <w:r>
        <w:rPr>
          <w:rFonts w:hint="eastAsia" w:ascii="仿宋" w:hAnsi="仿宋" w:eastAsia="仿宋" w:cs="仿宋"/>
          <w:sz w:val="22"/>
          <w:szCs w:val="22"/>
        </w:rPr>
        <w:t>拟通过网站、相关媒体等任何公开或非公开方式对外进行宣传的，在文件、宣传册或广告等传播媒介中涉及到评价内容时，均应遵守乙方公开的评价管理文件中有关证书和标志的规定。经伪造、涂改、出借、出租、转让、部分出示等与乙方公示不一致的证书无效。</w:t>
      </w:r>
    </w:p>
    <w:p w14:paraId="174848AD">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5.15若</w:t>
      </w:r>
      <w:r>
        <w:rPr>
          <w:rFonts w:hint="eastAsia" w:ascii="仿宋" w:hAnsi="仿宋" w:eastAsia="仿宋" w:cs="仿宋"/>
          <w:sz w:val="22"/>
          <w:szCs w:val="22"/>
          <w:lang w:eastAsia="zh-CN"/>
        </w:rPr>
        <w:t>甲方</w:t>
      </w:r>
      <w:r>
        <w:rPr>
          <w:rFonts w:hint="eastAsia" w:ascii="仿宋" w:hAnsi="仿宋" w:eastAsia="仿宋" w:cs="仿宋"/>
          <w:sz w:val="22"/>
          <w:szCs w:val="22"/>
        </w:rPr>
        <w:t>违反本合同第5.13、5.14条，乙方有权要求</w:t>
      </w:r>
      <w:r>
        <w:rPr>
          <w:rFonts w:hint="eastAsia" w:ascii="仿宋" w:hAnsi="仿宋" w:eastAsia="仿宋" w:cs="仿宋"/>
          <w:sz w:val="22"/>
          <w:szCs w:val="22"/>
          <w:lang w:val="en-US" w:eastAsia="zh-CN"/>
        </w:rPr>
        <w:t>甲方</w:t>
      </w:r>
      <w:r>
        <w:rPr>
          <w:rFonts w:hint="eastAsia" w:ascii="仿宋" w:hAnsi="仿宋" w:eastAsia="仿宋" w:cs="仿宋"/>
          <w:sz w:val="22"/>
          <w:szCs w:val="22"/>
        </w:rPr>
        <w:t>承担违约责任，包括暂停评价证书、消除影响、排除妨碍或要求支付相当于评价费用金额2倍的违约金。</w:t>
      </w:r>
    </w:p>
    <w:p w14:paraId="07E15D5D">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5.16自愿申请注销评价证书时，</w:t>
      </w:r>
      <w:r>
        <w:rPr>
          <w:rFonts w:hint="eastAsia" w:ascii="仿宋" w:hAnsi="仿宋" w:eastAsia="仿宋" w:cs="仿宋"/>
          <w:sz w:val="22"/>
          <w:szCs w:val="22"/>
          <w:lang w:eastAsia="zh-CN"/>
        </w:rPr>
        <w:t>甲方</w:t>
      </w:r>
      <w:r>
        <w:rPr>
          <w:rFonts w:hint="eastAsia" w:ascii="仿宋" w:hAnsi="仿宋" w:eastAsia="仿宋" w:cs="仿宋"/>
          <w:sz w:val="22"/>
          <w:szCs w:val="22"/>
        </w:rPr>
        <w:t>应书面通知乙方，并将证书原件交还乙方，由乙方办理注销手续，同时暂停使用评价证书/评价标志。</w:t>
      </w:r>
    </w:p>
    <w:p w14:paraId="24FFDDC0">
      <w:pPr>
        <w:ind w:left="650" w:leftChars="100" w:hanging="440" w:hangingChars="200"/>
        <w:rPr>
          <w:rFonts w:hint="eastAsia" w:ascii="仿宋" w:hAnsi="仿宋" w:eastAsia="仿宋" w:cs="仿宋"/>
        </w:rPr>
      </w:pPr>
      <w:r>
        <w:rPr>
          <w:rFonts w:hint="eastAsia" w:ascii="仿宋" w:hAnsi="仿宋" w:eastAsia="仿宋" w:cs="仿宋"/>
          <w:sz w:val="22"/>
          <w:szCs w:val="22"/>
        </w:rPr>
        <w:t>5.17</w:t>
      </w:r>
      <w:r>
        <w:rPr>
          <w:rFonts w:hint="eastAsia" w:ascii="仿宋" w:hAnsi="仿宋" w:eastAsia="仿宋" w:cs="仿宋"/>
          <w:sz w:val="22"/>
          <w:szCs w:val="22"/>
          <w:lang w:eastAsia="zh-CN"/>
        </w:rPr>
        <w:t>甲方</w:t>
      </w:r>
      <w:r>
        <w:rPr>
          <w:rFonts w:hint="eastAsia" w:ascii="仿宋" w:hAnsi="仿宋" w:eastAsia="仿宋" w:cs="仿宋"/>
          <w:sz w:val="22"/>
          <w:szCs w:val="22"/>
        </w:rPr>
        <w:t>应依据评价管理文件，进行获证后监督的相关工作包括自查、结果报送、接受现场评价等</w:t>
      </w:r>
      <w:r>
        <w:rPr>
          <w:rFonts w:hint="eastAsia" w:ascii="仿宋" w:hAnsi="仿宋" w:eastAsia="仿宋" w:cs="仿宋"/>
        </w:rPr>
        <w:t>。</w:t>
      </w:r>
    </w:p>
    <w:p w14:paraId="48578B13">
      <w:pPr>
        <w:rPr>
          <w:rFonts w:hint="eastAsia" w:ascii="仿宋" w:hAnsi="仿宋" w:eastAsia="仿宋" w:cs="仿宋"/>
          <w:b/>
          <w:sz w:val="22"/>
          <w:szCs w:val="22"/>
        </w:rPr>
      </w:pPr>
      <w:r>
        <w:rPr>
          <w:rFonts w:hint="eastAsia" w:ascii="仿宋" w:hAnsi="仿宋" w:eastAsia="仿宋" w:cs="仿宋"/>
          <w:b/>
          <w:sz w:val="22"/>
          <w:szCs w:val="22"/>
        </w:rPr>
        <w:t>6 乙方的义务</w:t>
      </w:r>
    </w:p>
    <w:p w14:paraId="7E50786E">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6.1始终遵守国家相关法律法规和规章制度的规定。</w:t>
      </w:r>
    </w:p>
    <w:p w14:paraId="576CBC56">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6.2根据评价方案在受委托的评价范围内公开透明、客观公正地开展评价活动。</w:t>
      </w:r>
    </w:p>
    <w:p w14:paraId="04B4E9D5">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6.3派遣乙方人员或经由乙方认可的第三方人员按照评价管理文件内的评价方案实施评价。</w:t>
      </w:r>
    </w:p>
    <w:p w14:paraId="53D910E8">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6.4应向</w:t>
      </w:r>
      <w:r>
        <w:rPr>
          <w:rFonts w:hint="eastAsia" w:ascii="仿宋" w:hAnsi="仿宋" w:eastAsia="仿宋" w:cs="仿宋"/>
          <w:sz w:val="22"/>
          <w:szCs w:val="22"/>
          <w:lang w:eastAsia="zh-CN"/>
        </w:rPr>
        <w:t>甲方</w:t>
      </w:r>
      <w:r>
        <w:rPr>
          <w:rFonts w:hint="eastAsia" w:ascii="仿宋" w:hAnsi="仿宋" w:eastAsia="仿宋" w:cs="仿宋"/>
          <w:sz w:val="22"/>
          <w:szCs w:val="22"/>
        </w:rPr>
        <w:t>及时提交评价计划，按约定时间实施评价。</w:t>
      </w:r>
    </w:p>
    <w:p w14:paraId="3951F8AD">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6.5乙方【组织评价组】对初始评价结论及相关资料进行综合评价，确定结果等级，做出评价决定。对符合评价要求的，由标良办公室负责评价证书的编号和打印，乙方颁发评价证书；对存在不合格结论的，不予批准评价，评价终止。</w:t>
      </w:r>
    </w:p>
    <w:p w14:paraId="0A441E4F">
      <w:pPr>
        <w:ind w:left="606" w:leftChars="100" w:hanging="396" w:hangingChars="180"/>
        <w:rPr>
          <w:rFonts w:hint="eastAsia" w:ascii="仿宋" w:hAnsi="仿宋" w:eastAsia="仿宋" w:cs="仿宋"/>
          <w:sz w:val="22"/>
          <w:szCs w:val="22"/>
        </w:rPr>
      </w:pPr>
      <w:r>
        <w:rPr>
          <w:rFonts w:hint="eastAsia" w:ascii="仿宋" w:hAnsi="仿宋" w:eastAsia="仿宋" w:cs="仿宋"/>
          <w:sz w:val="22"/>
          <w:szCs w:val="22"/>
        </w:rPr>
        <w:t>6.6按照评价管理文件要求和实际情况，对</w:t>
      </w:r>
      <w:r>
        <w:rPr>
          <w:rFonts w:hint="eastAsia" w:ascii="仿宋" w:hAnsi="仿宋" w:eastAsia="仿宋" w:cs="仿宋"/>
          <w:sz w:val="22"/>
          <w:szCs w:val="22"/>
          <w:lang w:eastAsia="zh-CN"/>
        </w:rPr>
        <w:t>甲方</w:t>
      </w:r>
      <w:r>
        <w:rPr>
          <w:rFonts w:hint="eastAsia" w:ascii="仿宋" w:hAnsi="仿宋" w:eastAsia="仿宋" w:cs="仿宋"/>
          <w:sz w:val="22"/>
          <w:szCs w:val="22"/>
        </w:rPr>
        <w:t>实施获证后监督，包括采用文件审核或现场审核的方式。</w:t>
      </w:r>
    </w:p>
    <w:p w14:paraId="54053AC2">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6.7在</w:t>
      </w:r>
      <w:r>
        <w:rPr>
          <w:rFonts w:hint="eastAsia" w:ascii="仿宋" w:hAnsi="仿宋" w:eastAsia="仿宋" w:cs="仿宋"/>
          <w:sz w:val="22"/>
          <w:szCs w:val="22"/>
          <w:lang w:eastAsia="zh-CN"/>
        </w:rPr>
        <w:t>甲方</w:t>
      </w:r>
      <w:r>
        <w:rPr>
          <w:rFonts w:hint="eastAsia" w:ascii="仿宋" w:hAnsi="仿宋" w:eastAsia="仿宋" w:cs="仿宋"/>
          <w:sz w:val="22"/>
          <w:szCs w:val="22"/>
        </w:rPr>
        <w:t>评价证书有效期内，相关评价标准、评价管理文件发生变化，或当评价方案提出对</w:t>
      </w:r>
      <w:r>
        <w:rPr>
          <w:rFonts w:hint="eastAsia" w:ascii="仿宋" w:hAnsi="仿宋" w:eastAsia="仿宋" w:cs="仿宋"/>
          <w:sz w:val="22"/>
          <w:szCs w:val="22"/>
          <w:lang w:eastAsia="zh-CN"/>
        </w:rPr>
        <w:t>甲方</w:t>
      </w:r>
      <w:r>
        <w:rPr>
          <w:rFonts w:hint="eastAsia" w:ascii="仿宋" w:hAnsi="仿宋" w:eastAsia="仿宋" w:cs="仿宋"/>
          <w:sz w:val="22"/>
          <w:szCs w:val="22"/>
        </w:rPr>
        <w:t>产生影响的新的或修订的要求时，及时通知</w:t>
      </w:r>
      <w:r>
        <w:rPr>
          <w:rFonts w:hint="eastAsia" w:ascii="仿宋" w:hAnsi="仿宋" w:eastAsia="仿宋" w:cs="仿宋"/>
          <w:sz w:val="22"/>
          <w:szCs w:val="22"/>
          <w:lang w:eastAsia="zh-CN"/>
        </w:rPr>
        <w:t>甲方</w:t>
      </w:r>
      <w:r>
        <w:rPr>
          <w:rFonts w:hint="eastAsia" w:ascii="仿宋" w:hAnsi="仿宋" w:eastAsia="仿宋" w:cs="仿宋"/>
          <w:sz w:val="22"/>
          <w:szCs w:val="22"/>
        </w:rPr>
        <w:t>。</w:t>
      </w:r>
    </w:p>
    <w:p w14:paraId="63FBE9EC">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6.8做出暂停、注销、撤销评价证书的决定时，书面通知</w:t>
      </w:r>
      <w:r>
        <w:rPr>
          <w:rFonts w:hint="eastAsia" w:ascii="仿宋" w:hAnsi="仿宋" w:eastAsia="仿宋" w:cs="仿宋"/>
          <w:sz w:val="22"/>
          <w:szCs w:val="22"/>
          <w:lang w:eastAsia="zh-CN"/>
        </w:rPr>
        <w:t>甲方</w:t>
      </w:r>
      <w:r>
        <w:rPr>
          <w:rFonts w:hint="eastAsia" w:ascii="仿宋" w:hAnsi="仿宋" w:eastAsia="仿宋" w:cs="仿宋"/>
          <w:sz w:val="22"/>
          <w:szCs w:val="22"/>
        </w:rPr>
        <w:t>，并说明理由。</w:t>
      </w:r>
    </w:p>
    <w:p w14:paraId="7C9A5676">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6.9按第12条约定履行保密义务。</w:t>
      </w:r>
    </w:p>
    <w:p w14:paraId="6239F043">
      <w:pPr>
        <w:rPr>
          <w:rFonts w:hint="eastAsia" w:ascii="仿宋" w:hAnsi="仿宋" w:eastAsia="仿宋" w:cs="仿宋"/>
          <w:b/>
          <w:sz w:val="22"/>
          <w:szCs w:val="22"/>
        </w:rPr>
      </w:pPr>
      <w:r>
        <w:rPr>
          <w:rFonts w:hint="eastAsia" w:ascii="仿宋" w:hAnsi="仿宋" w:eastAsia="仿宋" w:cs="仿宋"/>
          <w:b/>
          <w:sz w:val="22"/>
          <w:szCs w:val="22"/>
        </w:rPr>
        <w:t>7 评价证书的暂停</w:t>
      </w:r>
    </w:p>
    <w:p w14:paraId="1613707B">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7.1乙方有权依据乙方公开的评价管理文件暂停</w:t>
      </w:r>
      <w:r>
        <w:rPr>
          <w:rFonts w:hint="eastAsia" w:ascii="仿宋" w:hAnsi="仿宋" w:eastAsia="仿宋" w:cs="仿宋"/>
          <w:sz w:val="22"/>
          <w:szCs w:val="22"/>
          <w:lang w:eastAsia="zh-CN"/>
        </w:rPr>
        <w:t>甲方</w:t>
      </w:r>
      <w:r>
        <w:rPr>
          <w:rFonts w:hint="eastAsia" w:ascii="仿宋" w:hAnsi="仿宋" w:eastAsia="仿宋" w:cs="仿宋"/>
          <w:sz w:val="22"/>
          <w:szCs w:val="22"/>
        </w:rPr>
        <w:t>的评价证书。</w:t>
      </w:r>
    </w:p>
    <w:p w14:paraId="3F4DF20B">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7.2评价证书暂停的有关规定</w:t>
      </w:r>
    </w:p>
    <w:p w14:paraId="24F92783">
      <w:pPr>
        <w:ind w:left="533" w:leftChars="191" w:hanging="132" w:hangingChars="60"/>
        <w:rPr>
          <w:rFonts w:hint="eastAsia" w:ascii="仿宋" w:hAnsi="仿宋" w:eastAsia="仿宋" w:cs="仿宋"/>
          <w:sz w:val="22"/>
          <w:szCs w:val="22"/>
        </w:rPr>
      </w:pPr>
      <w:r>
        <w:rPr>
          <w:rFonts w:hint="eastAsia" w:ascii="仿宋" w:hAnsi="仿宋" w:eastAsia="仿宋" w:cs="仿宋"/>
          <w:sz w:val="22"/>
          <w:szCs w:val="22"/>
        </w:rPr>
        <w:t>（1）评价证书暂停期间应视为无效。</w:t>
      </w:r>
    </w:p>
    <w:p w14:paraId="69329B50">
      <w:pPr>
        <w:ind w:left="533" w:leftChars="191" w:hanging="132" w:hangingChars="60"/>
        <w:rPr>
          <w:rFonts w:hint="eastAsia" w:ascii="仿宋" w:hAnsi="仿宋" w:eastAsia="仿宋" w:cs="仿宋"/>
          <w:sz w:val="22"/>
          <w:szCs w:val="22"/>
        </w:rPr>
      </w:pPr>
      <w:r>
        <w:rPr>
          <w:rFonts w:hint="eastAsia" w:ascii="仿宋" w:hAnsi="仿宋" w:eastAsia="仿宋" w:cs="仿宋"/>
          <w:sz w:val="22"/>
          <w:szCs w:val="22"/>
        </w:rPr>
        <w:t>（2）评价证书暂停期限在相应的评价管理文件内规定。</w:t>
      </w:r>
    </w:p>
    <w:p w14:paraId="0BCBC9F4">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7.3暂停评价证书的恢复</w:t>
      </w:r>
    </w:p>
    <w:p w14:paraId="1D669229">
      <w:pPr>
        <w:ind w:left="511" w:leftChars="191" w:hanging="110" w:hangingChars="50"/>
        <w:rPr>
          <w:rFonts w:hint="eastAsia" w:ascii="仿宋" w:hAnsi="仿宋" w:eastAsia="仿宋" w:cs="仿宋"/>
          <w:sz w:val="22"/>
          <w:szCs w:val="22"/>
        </w:rPr>
      </w:pPr>
      <w:r>
        <w:rPr>
          <w:rFonts w:hint="eastAsia" w:ascii="仿宋" w:hAnsi="仿宋" w:eastAsia="仿宋" w:cs="仿宋"/>
          <w:sz w:val="22"/>
          <w:szCs w:val="22"/>
        </w:rPr>
        <w:t>（1）乙方须向</w:t>
      </w:r>
      <w:r>
        <w:rPr>
          <w:rFonts w:hint="eastAsia" w:ascii="仿宋" w:hAnsi="仿宋" w:eastAsia="仿宋" w:cs="仿宋"/>
          <w:sz w:val="22"/>
          <w:szCs w:val="22"/>
          <w:lang w:eastAsia="zh-CN"/>
        </w:rPr>
        <w:t>甲方</w:t>
      </w:r>
      <w:r>
        <w:rPr>
          <w:rFonts w:hint="eastAsia" w:ascii="仿宋" w:hAnsi="仿宋" w:eastAsia="仿宋" w:cs="仿宋"/>
          <w:sz w:val="22"/>
          <w:szCs w:val="22"/>
        </w:rPr>
        <w:t>告知证书暂停的原因、期限，并根据暂停原因明确恢复证书的相关要求。</w:t>
      </w:r>
    </w:p>
    <w:p w14:paraId="03844D71">
      <w:pPr>
        <w:ind w:left="511" w:leftChars="191" w:hanging="110" w:hangingChars="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eastAsia="zh-CN"/>
        </w:rPr>
        <w:t>甲方</w:t>
      </w:r>
      <w:r>
        <w:rPr>
          <w:rFonts w:hint="eastAsia" w:ascii="仿宋" w:hAnsi="仿宋" w:eastAsia="仿宋" w:cs="仿宋"/>
          <w:sz w:val="22"/>
          <w:szCs w:val="22"/>
        </w:rPr>
        <w:t>在评价证书暂停期限内，可向乙方书面提出恢复申请。</w:t>
      </w:r>
      <w:r>
        <w:rPr>
          <w:rFonts w:hint="eastAsia" w:ascii="仿宋" w:hAnsi="仿宋" w:eastAsia="仿宋" w:cs="仿宋"/>
          <w:sz w:val="22"/>
          <w:szCs w:val="22"/>
          <w:lang w:eastAsia="zh-CN"/>
        </w:rPr>
        <w:t>甲方</w:t>
      </w:r>
      <w:r>
        <w:rPr>
          <w:rFonts w:hint="eastAsia" w:ascii="仿宋" w:hAnsi="仿宋" w:eastAsia="仿宋" w:cs="仿宋"/>
          <w:sz w:val="22"/>
          <w:szCs w:val="22"/>
        </w:rPr>
        <w:t>根据乙方相关规定通过整改并符合相关要求的，乙方应当恢复其评价证书。</w:t>
      </w:r>
    </w:p>
    <w:p w14:paraId="393A3D10">
      <w:pPr>
        <w:rPr>
          <w:rFonts w:hint="eastAsia" w:ascii="仿宋" w:hAnsi="仿宋" w:eastAsia="仿宋" w:cs="仿宋"/>
          <w:b/>
          <w:sz w:val="22"/>
          <w:szCs w:val="22"/>
        </w:rPr>
      </w:pPr>
      <w:r>
        <w:rPr>
          <w:rFonts w:hint="eastAsia" w:ascii="仿宋" w:hAnsi="仿宋" w:eastAsia="仿宋" w:cs="仿宋"/>
          <w:b/>
          <w:sz w:val="22"/>
          <w:szCs w:val="22"/>
        </w:rPr>
        <w:t>8 评价证书的撤销</w:t>
      </w:r>
    </w:p>
    <w:p w14:paraId="561EA686">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8.1乙方有权依据乙方公开的评价管理文件撤销</w:t>
      </w:r>
      <w:r>
        <w:rPr>
          <w:rFonts w:hint="eastAsia" w:ascii="仿宋" w:hAnsi="仿宋" w:eastAsia="仿宋" w:cs="仿宋"/>
          <w:sz w:val="22"/>
          <w:szCs w:val="22"/>
          <w:lang w:eastAsia="zh-CN"/>
        </w:rPr>
        <w:t>甲方</w:t>
      </w:r>
      <w:r>
        <w:rPr>
          <w:rFonts w:hint="eastAsia" w:ascii="仿宋" w:hAnsi="仿宋" w:eastAsia="仿宋" w:cs="仿宋"/>
          <w:sz w:val="22"/>
          <w:szCs w:val="22"/>
        </w:rPr>
        <w:t>的评价证书。</w:t>
      </w:r>
    </w:p>
    <w:p w14:paraId="4C902D32">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8.2评价证书撤销的有关规定</w:t>
      </w:r>
    </w:p>
    <w:p w14:paraId="6A9EB6BD">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（1）自评价证书撤销之日起，</w:t>
      </w:r>
      <w:r>
        <w:rPr>
          <w:rFonts w:hint="eastAsia" w:ascii="仿宋" w:hAnsi="仿宋" w:eastAsia="仿宋" w:cs="仿宋"/>
          <w:sz w:val="22"/>
          <w:szCs w:val="22"/>
          <w:lang w:eastAsia="zh-CN"/>
        </w:rPr>
        <w:t>甲方</w:t>
      </w:r>
      <w:r>
        <w:rPr>
          <w:rFonts w:hint="eastAsia" w:ascii="仿宋" w:hAnsi="仿宋" w:eastAsia="仿宋" w:cs="仿宋"/>
          <w:sz w:val="22"/>
          <w:szCs w:val="22"/>
        </w:rPr>
        <w:t>不得在经营活动中使用评价证书。</w:t>
      </w:r>
    </w:p>
    <w:p w14:paraId="26C72A78">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（2）评价证书被撤销后，</w:t>
      </w:r>
      <w:r>
        <w:rPr>
          <w:rFonts w:hint="eastAsia" w:ascii="仿宋" w:hAnsi="仿宋" w:eastAsia="仿宋" w:cs="仿宋"/>
          <w:sz w:val="22"/>
          <w:szCs w:val="22"/>
          <w:lang w:eastAsia="zh-CN"/>
        </w:rPr>
        <w:t>甲方</w:t>
      </w:r>
      <w:r>
        <w:rPr>
          <w:rFonts w:hint="eastAsia" w:ascii="仿宋" w:hAnsi="仿宋" w:eastAsia="仿宋" w:cs="仿宋"/>
          <w:sz w:val="22"/>
          <w:szCs w:val="22"/>
        </w:rPr>
        <w:t>不能以任何理由恢复。</w:t>
      </w:r>
    </w:p>
    <w:p w14:paraId="22E04C0B">
      <w:pPr>
        <w:rPr>
          <w:rFonts w:hint="eastAsia" w:ascii="仿宋" w:hAnsi="仿宋" w:eastAsia="仿宋" w:cs="仿宋"/>
          <w:b/>
          <w:sz w:val="22"/>
          <w:szCs w:val="22"/>
        </w:rPr>
      </w:pPr>
      <w:r>
        <w:rPr>
          <w:rFonts w:hint="eastAsia" w:ascii="仿宋" w:hAnsi="仿宋" w:eastAsia="仿宋" w:cs="仿宋"/>
          <w:b/>
          <w:sz w:val="22"/>
          <w:szCs w:val="22"/>
        </w:rPr>
        <w:t>9 评价证书的注销</w:t>
      </w:r>
    </w:p>
    <w:p w14:paraId="460D2E60">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9.1乙方有权依据乙方公开的评价管理文件注销</w:t>
      </w:r>
      <w:r>
        <w:rPr>
          <w:rFonts w:hint="eastAsia" w:ascii="仿宋" w:hAnsi="仿宋" w:eastAsia="仿宋" w:cs="仿宋"/>
          <w:sz w:val="22"/>
          <w:szCs w:val="22"/>
          <w:lang w:eastAsia="zh-CN"/>
        </w:rPr>
        <w:t>甲方</w:t>
      </w:r>
      <w:r>
        <w:rPr>
          <w:rFonts w:hint="eastAsia" w:ascii="仿宋" w:hAnsi="仿宋" w:eastAsia="仿宋" w:cs="仿宋"/>
          <w:sz w:val="22"/>
          <w:szCs w:val="22"/>
        </w:rPr>
        <w:t>的评价证书。</w:t>
      </w:r>
    </w:p>
    <w:p w14:paraId="1911324B">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9.2评价证书注销的有关规定</w:t>
      </w:r>
    </w:p>
    <w:p w14:paraId="6BC3F4D2">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（1）自评价证书注销之日起，</w:t>
      </w:r>
      <w:r>
        <w:rPr>
          <w:rFonts w:hint="eastAsia" w:ascii="仿宋" w:hAnsi="仿宋" w:eastAsia="仿宋" w:cs="仿宋"/>
          <w:sz w:val="22"/>
          <w:szCs w:val="22"/>
          <w:lang w:eastAsia="zh-CN"/>
        </w:rPr>
        <w:t>甲方</w:t>
      </w:r>
      <w:r>
        <w:rPr>
          <w:rFonts w:hint="eastAsia" w:ascii="仿宋" w:hAnsi="仿宋" w:eastAsia="仿宋" w:cs="仿宋"/>
          <w:sz w:val="22"/>
          <w:szCs w:val="22"/>
        </w:rPr>
        <w:t>不得在经营活动中使用评价证书。</w:t>
      </w:r>
    </w:p>
    <w:p w14:paraId="7DA05036">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（2）评价证书被注销后，</w:t>
      </w:r>
      <w:r>
        <w:rPr>
          <w:rFonts w:hint="eastAsia" w:ascii="仿宋" w:hAnsi="仿宋" w:eastAsia="仿宋" w:cs="仿宋"/>
          <w:sz w:val="22"/>
          <w:szCs w:val="22"/>
          <w:lang w:eastAsia="zh-CN"/>
        </w:rPr>
        <w:t>甲方</w:t>
      </w:r>
      <w:r>
        <w:rPr>
          <w:rFonts w:hint="eastAsia" w:ascii="仿宋" w:hAnsi="仿宋" w:eastAsia="仿宋" w:cs="仿宋"/>
          <w:sz w:val="22"/>
          <w:szCs w:val="22"/>
        </w:rPr>
        <w:t>不能以任何理由予以恢复。</w:t>
      </w:r>
    </w:p>
    <w:p w14:paraId="4BC68733">
      <w:pPr>
        <w:rPr>
          <w:rFonts w:hint="eastAsia" w:ascii="仿宋" w:hAnsi="仿宋" w:eastAsia="仿宋" w:cs="仿宋"/>
          <w:b/>
          <w:sz w:val="22"/>
          <w:szCs w:val="22"/>
        </w:rPr>
      </w:pPr>
      <w:r>
        <w:rPr>
          <w:rFonts w:hint="eastAsia" w:ascii="仿宋" w:hAnsi="仿宋" w:eastAsia="仿宋" w:cs="仿宋"/>
          <w:b/>
          <w:sz w:val="22"/>
          <w:szCs w:val="22"/>
        </w:rPr>
        <w:t>10 违约责任</w:t>
      </w:r>
    </w:p>
    <w:p w14:paraId="4FA9B458">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10.1若因</w:t>
      </w:r>
      <w:r>
        <w:rPr>
          <w:rFonts w:hint="eastAsia" w:ascii="仿宋" w:hAnsi="仿宋" w:eastAsia="仿宋" w:cs="仿宋"/>
          <w:sz w:val="22"/>
          <w:szCs w:val="22"/>
          <w:lang w:eastAsia="zh-CN"/>
        </w:rPr>
        <w:t>甲方</w:t>
      </w:r>
      <w:r>
        <w:rPr>
          <w:rFonts w:hint="eastAsia" w:ascii="仿宋" w:hAnsi="仿宋" w:eastAsia="仿宋" w:cs="仿宋"/>
          <w:sz w:val="22"/>
          <w:szCs w:val="22"/>
        </w:rPr>
        <w:t>未能履行本合同约定的义务或不符合评价要求而没有获得评价证书的，乙方对此不承担任何责任。但是，若因乙方违反本合同约定的义务而导致</w:t>
      </w:r>
      <w:r>
        <w:rPr>
          <w:rFonts w:hint="eastAsia" w:ascii="仿宋" w:hAnsi="仿宋" w:eastAsia="仿宋" w:cs="仿宋"/>
          <w:sz w:val="22"/>
          <w:szCs w:val="22"/>
          <w:lang w:eastAsia="zh-CN"/>
        </w:rPr>
        <w:t>甲方</w:t>
      </w:r>
      <w:r>
        <w:rPr>
          <w:rFonts w:hint="eastAsia" w:ascii="仿宋" w:hAnsi="仿宋" w:eastAsia="仿宋" w:cs="仿宋"/>
          <w:sz w:val="22"/>
          <w:szCs w:val="22"/>
        </w:rPr>
        <w:t>未能通过评价的，乙方对此应承担相应的法律责任。</w:t>
      </w:r>
    </w:p>
    <w:p w14:paraId="06E24C18">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w:t>
      </w:r>
      <w:r>
        <w:rPr>
          <w:rFonts w:hint="eastAsia" w:ascii="仿宋" w:hAnsi="仿宋" w:eastAsia="仿宋" w:cs="仿宋"/>
          <w:sz w:val="22"/>
          <w:szCs w:val="22"/>
          <w:lang w:val="en-US" w:eastAsia="zh-CN"/>
        </w:rPr>
        <w:t>2甲方</w:t>
      </w:r>
      <w:r>
        <w:rPr>
          <w:rFonts w:hint="eastAsia" w:ascii="仿宋" w:hAnsi="仿宋" w:eastAsia="仿宋" w:cs="仿宋"/>
          <w:sz w:val="22"/>
          <w:szCs w:val="22"/>
        </w:rPr>
        <w:t>若违反本合同第5条、第11条项下义务，则应向乙方支付相当于</w:t>
      </w:r>
      <w:r>
        <w:rPr>
          <w:rFonts w:hint="eastAsia" w:ascii="仿宋" w:hAnsi="仿宋" w:eastAsia="仿宋" w:cs="仿宋"/>
          <w:sz w:val="22"/>
          <w:szCs w:val="22"/>
          <w:lang w:eastAsia="zh-CN"/>
        </w:rPr>
        <w:t>评价</w:t>
      </w:r>
      <w:r>
        <w:rPr>
          <w:rFonts w:hint="eastAsia" w:ascii="仿宋" w:hAnsi="仿宋" w:eastAsia="仿宋" w:cs="仿宋"/>
          <w:sz w:val="22"/>
          <w:szCs w:val="22"/>
        </w:rPr>
        <w:t>金额【2】倍的违约金；若该违约金不足以弥补给乙方造成的直接损失、间接损失以及其为此所花费的全部费用（包括但不限于律师费、诉讼费、差旅费、公证费等全部维权费用）的，乙方有权向</w:t>
      </w:r>
      <w:r>
        <w:rPr>
          <w:rFonts w:hint="eastAsia" w:ascii="仿宋" w:hAnsi="仿宋" w:eastAsia="仿宋" w:cs="仿宋"/>
          <w:sz w:val="22"/>
          <w:szCs w:val="22"/>
          <w:lang w:eastAsia="zh-CN"/>
        </w:rPr>
        <w:t>甲方</w:t>
      </w:r>
      <w:r>
        <w:rPr>
          <w:rFonts w:hint="eastAsia" w:ascii="仿宋" w:hAnsi="仿宋" w:eastAsia="仿宋" w:cs="仿宋"/>
          <w:sz w:val="22"/>
          <w:szCs w:val="22"/>
        </w:rPr>
        <w:t>继续追偿。</w:t>
      </w:r>
    </w:p>
    <w:p w14:paraId="5D816E96">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10.4</w:t>
      </w:r>
      <w:r>
        <w:rPr>
          <w:rFonts w:hint="eastAsia" w:ascii="仿宋" w:hAnsi="仿宋" w:eastAsia="仿宋" w:cs="仿宋"/>
          <w:sz w:val="22"/>
          <w:szCs w:val="22"/>
          <w:lang w:val="en-US" w:eastAsia="zh-CN"/>
        </w:rPr>
        <w:t>甲方</w:t>
      </w:r>
      <w:r>
        <w:rPr>
          <w:rFonts w:hint="eastAsia" w:ascii="仿宋" w:hAnsi="仿宋" w:eastAsia="仿宋" w:cs="仿宋"/>
          <w:sz w:val="22"/>
          <w:szCs w:val="22"/>
        </w:rPr>
        <w:t>若违反相关法律法规规定或本合同约定，给第三方造成任何损害或损失的，则应承担由此所产生的全部后果及法律责任；若乙方为此承担了有关法律责任或影响到乙方的社会声誉/商誉的，乙方有权向</w:t>
      </w:r>
      <w:r>
        <w:rPr>
          <w:rFonts w:hint="eastAsia" w:ascii="仿宋" w:hAnsi="仿宋" w:eastAsia="仿宋" w:cs="仿宋"/>
          <w:sz w:val="22"/>
          <w:szCs w:val="22"/>
          <w:lang w:val="en-US" w:eastAsia="zh-CN"/>
        </w:rPr>
        <w:t>甲方</w:t>
      </w:r>
      <w:r>
        <w:rPr>
          <w:rFonts w:hint="eastAsia" w:ascii="仿宋" w:hAnsi="仿宋" w:eastAsia="仿宋" w:cs="仿宋"/>
          <w:sz w:val="22"/>
          <w:szCs w:val="22"/>
        </w:rPr>
        <w:t>进行追偿。</w:t>
      </w:r>
    </w:p>
    <w:p w14:paraId="5A9ACF30">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10.5</w:t>
      </w:r>
      <w:r>
        <w:rPr>
          <w:rFonts w:hint="eastAsia" w:ascii="仿宋" w:hAnsi="仿宋" w:eastAsia="仿宋" w:cs="仿宋"/>
          <w:b/>
          <w:sz w:val="22"/>
          <w:szCs w:val="22"/>
        </w:rPr>
        <w:t>在任何一个事件或一系列相关事件中，对于</w:t>
      </w:r>
      <w:r>
        <w:rPr>
          <w:rFonts w:hint="eastAsia" w:ascii="仿宋" w:hAnsi="仿宋" w:eastAsia="仿宋" w:cs="仿宋"/>
          <w:b/>
          <w:sz w:val="22"/>
          <w:szCs w:val="22"/>
          <w:lang w:val="en-US" w:eastAsia="zh-CN"/>
        </w:rPr>
        <w:t>甲方</w:t>
      </w:r>
      <w:r>
        <w:rPr>
          <w:rFonts w:hint="eastAsia" w:ascii="仿宋" w:hAnsi="仿宋" w:eastAsia="仿宋" w:cs="仿宋"/>
          <w:b/>
          <w:sz w:val="22"/>
          <w:szCs w:val="22"/>
        </w:rPr>
        <w:t>向乙方主张的任何损失、损害或任何性质的索赔，不论因何产生，均以</w:t>
      </w:r>
      <w:r>
        <w:rPr>
          <w:rFonts w:hint="eastAsia" w:ascii="仿宋" w:hAnsi="仿宋" w:eastAsia="仿宋" w:cs="仿宋"/>
          <w:b/>
          <w:sz w:val="22"/>
          <w:szCs w:val="22"/>
          <w:lang w:val="en-US" w:eastAsia="zh-CN"/>
        </w:rPr>
        <w:t>甲方</w:t>
      </w:r>
      <w:r>
        <w:rPr>
          <w:rFonts w:hint="eastAsia" w:ascii="仿宋" w:hAnsi="仿宋" w:eastAsia="仿宋" w:cs="仿宋"/>
          <w:b/>
          <w:sz w:val="22"/>
          <w:szCs w:val="22"/>
        </w:rPr>
        <w:t>的评价费用为限（不包括就此产生的增值税）；但若由于</w:t>
      </w:r>
      <w:r>
        <w:rPr>
          <w:rFonts w:hint="eastAsia" w:ascii="仿宋" w:hAnsi="仿宋" w:eastAsia="仿宋" w:cs="仿宋"/>
          <w:b/>
          <w:sz w:val="22"/>
          <w:szCs w:val="22"/>
          <w:lang w:val="en-US" w:eastAsia="zh-CN"/>
        </w:rPr>
        <w:t>甲方及甲方代理方之</w:t>
      </w:r>
      <w:r>
        <w:rPr>
          <w:rFonts w:hint="eastAsia" w:ascii="仿宋" w:hAnsi="仿宋" w:eastAsia="仿宋" w:cs="仿宋"/>
          <w:b/>
          <w:sz w:val="22"/>
          <w:szCs w:val="22"/>
        </w:rPr>
        <w:t>原因，导致乙方直接遭受任何损失，或须对第三方承担任何责任的，乙方向</w:t>
      </w:r>
      <w:r>
        <w:rPr>
          <w:rFonts w:hint="eastAsia" w:ascii="仿宋" w:hAnsi="仿宋" w:eastAsia="仿宋" w:cs="仿宋"/>
          <w:b/>
          <w:sz w:val="22"/>
          <w:szCs w:val="22"/>
          <w:lang w:val="en-US" w:eastAsia="zh-CN"/>
        </w:rPr>
        <w:t>甲</w:t>
      </w:r>
      <w:r>
        <w:rPr>
          <w:rFonts w:hint="eastAsia" w:ascii="仿宋" w:hAnsi="仿宋" w:eastAsia="仿宋" w:cs="仿宋"/>
          <w:b/>
          <w:sz w:val="22"/>
          <w:szCs w:val="22"/>
        </w:rPr>
        <w:t>方追偿不受本款索赔限额的限制。</w:t>
      </w:r>
    </w:p>
    <w:p w14:paraId="3C71B34A">
      <w:pPr>
        <w:rPr>
          <w:rFonts w:hint="eastAsia" w:ascii="仿宋" w:hAnsi="仿宋" w:eastAsia="仿宋" w:cs="仿宋"/>
          <w:b/>
          <w:sz w:val="22"/>
          <w:szCs w:val="22"/>
        </w:rPr>
      </w:pPr>
      <w:r>
        <w:rPr>
          <w:rFonts w:hint="eastAsia" w:ascii="仿宋" w:hAnsi="仿宋" w:eastAsia="仿宋" w:cs="仿宋"/>
          <w:b/>
          <w:sz w:val="22"/>
          <w:szCs w:val="22"/>
        </w:rPr>
        <w:t>11 知识产权</w:t>
      </w:r>
    </w:p>
    <w:p w14:paraId="586BBFDE">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11.1双方一致同意，任何在本合同签订前已存在的知识产权均属于原持有人的独有财产，不因本合同的签署发生变更。</w:t>
      </w:r>
    </w:p>
    <w:p w14:paraId="3BF4D5E4">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11.2乙方在评价工作过程中产生的任何工作文件、记录、报告、图解、图表、照片及任何其它资料（无论载于何种媒介）都是乙方的独有财产。</w:t>
      </w:r>
    </w:p>
    <w:p w14:paraId="29332307">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11.3在乙方履行本合同项下的义务或使用</w:t>
      </w:r>
      <w:r>
        <w:rPr>
          <w:rFonts w:hint="eastAsia" w:ascii="仿宋" w:hAnsi="仿宋" w:eastAsia="仿宋" w:cs="仿宋"/>
          <w:sz w:val="22"/>
          <w:szCs w:val="22"/>
          <w:lang w:eastAsia="zh-CN"/>
        </w:rPr>
        <w:t>甲方</w:t>
      </w:r>
      <w:r>
        <w:rPr>
          <w:rFonts w:hint="eastAsia" w:ascii="仿宋" w:hAnsi="仿宋" w:eastAsia="仿宋" w:cs="仿宋"/>
          <w:sz w:val="22"/>
          <w:szCs w:val="22"/>
        </w:rPr>
        <w:t>提供的任何信息、资料和数据时，因侵犯任何专利、商标或著作权等知识产权而受到索赔、遭受损失与损害、产生的全部费用（包括但不限于律师费、诉讼费、差旅费、公证费等全部维权费用）以及承担的责任，</w:t>
      </w:r>
      <w:r>
        <w:rPr>
          <w:rFonts w:hint="eastAsia" w:ascii="仿宋" w:hAnsi="仿宋" w:eastAsia="仿宋" w:cs="仿宋"/>
          <w:sz w:val="22"/>
          <w:szCs w:val="22"/>
          <w:lang w:val="en-US" w:eastAsia="zh-CN"/>
        </w:rPr>
        <w:t>甲方</w:t>
      </w:r>
      <w:r>
        <w:rPr>
          <w:rFonts w:hint="eastAsia" w:ascii="仿宋" w:hAnsi="仿宋" w:eastAsia="仿宋" w:cs="仿宋"/>
          <w:sz w:val="22"/>
          <w:szCs w:val="22"/>
        </w:rPr>
        <w:t>有义务为乙方提供相关文件支持并进行抗辩，确保乙方的利益不受任何损害；否则，</w:t>
      </w:r>
      <w:r>
        <w:rPr>
          <w:rFonts w:hint="eastAsia" w:ascii="仿宋" w:hAnsi="仿宋" w:eastAsia="仿宋" w:cs="仿宋"/>
          <w:sz w:val="22"/>
          <w:szCs w:val="22"/>
          <w:lang w:val="en-US" w:eastAsia="zh-CN"/>
        </w:rPr>
        <w:t>甲方</w:t>
      </w:r>
      <w:r>
        <w:rPr>
          <w:rFonts w:hint="eastAsia" w:ascii="仿宋" w:hAnsi="仿宋" w:eastAsia="仿宋" w:cs="仿宋"/>
          <w:sz w:val="22"/>
          <w:szCs w:val="22"/>
        </w:rPr>
        <w:t>应对乙方做出相应的经济补偿，确保乙方利益。</w:t>
      </w:r>
    </w:p>
    <w:p w14:paraId="1627C00E">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11.4一方对保护另一方的知识产权负有法律责任。一方不得将另一方的商标、认证标志、评价标志、品牌名、企业名称或任何与这些标志/名称混淆性相似的标志或名称作为一方或其他第三方的标志或名称使用或以任何有损于另一方的形式进行使用。</w:t>
      </w:r>
    </w:p>
    <w:p w14:paraId="174FAF67">
      <w:pPr>
        <w:rPr>
          <w:rFonts w:hint="eastAsia" w:ascii="仿宋" w:hAnsi="仿宋" w:eastAsia="仿宋" w:cs="仿宋"/>
          <w:b/>
          <w:sz w:val="22"/>
          <w:szCs w:val="22"/>
        </w:rPr>
      </w:pPr>
      <w:r>
        <w:rPr>
          <w:rFonts w:hint="eastAsia" w:ascii="仿宋" w:hAnsi="仿宋" w:eastAsia="仿宋" w:cs="仿宋"/>
          <w:b/>
          <w:sz w:val="22"/>
          <w:szCs w:val="22"/>
        </w:rPr>
        <w:t>12 保密</w:t>
      </w:r>
    </w:p>
    <w:p w14:paraId="551EA458">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12.1在开展本合同项下评价活动时，由</w:t>
      </w:r>
      <w:r>
        <w:rPr>
          <w:rFonts w:hint="eastAsia" w:ascii="仿宋" w:hAnsi="仿宋" w:eastAsia="仿宋" w:cs="仿宋"/>
          <w:sz w:val="22"/>
          <w:szCs w:val="22"/>
          <w:lang w:eastAsia="zh-CN"/>
        </w:rPr>
        <w:t>甲方</w:t>
      </w:r>
      <w:r>
        <w:rPr>
          <w:rFonts w:hint="eastAsia" w:ascii="仿宋" w:hAnsi="仿宋" w:eastAsia="仿宋" w:cs="仿宋"/>
          <w:sz w:val="22"/>
          <w:szCs w:val="22"/>
        </w:rPr>
        <w:t>以书面、实物或电子形式向乙方或乙方的工作人员提供或披露的涉及</w:t>
      </w:r>
      <w:r>
        <w:rPr>
          <w:rFonts w:hint="eastAsia" w:ascii="仿宋" w:hAnsi="仿宋" w:eastAsia="仿宋" w:cs="仿宋"/>
          <w:sz w:val="22"/>
          <w:szCs w:val="22"/>
          <w:lang w:eastAsia="zh-CN"/>
        </w:rPr>
        <w:t>甲方</w:t>
      </w:r>
      <w:r>
        <w:rPr>
          <w:rFonts w:hint="eastAsia" w:ascii="仿宋" w:hAnsi="仿宋" w:eastAsia="仿宋" w:cs="仿宋"/>
          <w:sz w:val="22"/>
          <w:szCs w:val="22"/>
        </w:rPr>
        <w:t>的业务、人员、财务、销售、市场推广、内部管理、经营、计划及其他与评价有关事项的信息和资料（包括商业秘密及生产技术、工艺等技术秘密和信息），均视为</w:t>
      </w:r>
      <w:r>
        <w:rPr>
          <w:rFonts w:hint="eastAsia" w:ascii="仿宋" w:hAnsi="仿宋" w:eastAsia="仿宋" w:cs="仿宋"/>
          <w:sz w:val="22"/>
          <w:szCs w:val="22"/>
          <w:lang w:eastAsia="zh-CN"/>
        </w:rPr>
        <w:t>甲方</w:t>
      </w:r>
      <w:r>
        <w:rPr>
          <w:rFonts w:hint="eastAsia" w:ascii="仿宋" w:hAnsi="仿宋" w:eastAsia="仿宋" w:cs="仿宋"/>
          <w:sz w:val="22"/>
          <w:szCs w:val="22"/>
        </w:rPr>
        <w:t>的保密信息，乙方及其工作人员对此负有保密义务。</w:t>
      </w:r>
    </w:p>
    <w:p w14:paraId="00F98625">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12.2</w:t>
      </w:r>
      <w:r>
        <w:rPr>
          <w:rFonts w:hint="eastAsia" w:ascii="仿宋" w:hAnsi="仿宋" w:eastAsia="仿宋" w:cs="仿宋"/>
          <w:sz w:val="22"/>
          <w:szCs w:val="22"/>
          <w:lang w:eastAsia="zh-CN"/>
        </w:rPr>
        <w:t>甲方</w:t>
      </w:r>
      <w:r>
        <w:rPr>
          <w:rFonts w:hint="eastAsia" w:ascii="仿宋" w:hAnsi="仿宋" w:eastAsia="仿宋" w:cs="仿宋"/>
          <w:sz w:val="22"/>
          <w:szCs w:val="22"/>
        </w:rPr>
        <w:t>特别确认，乙方的保密义务不适用于下列信息：</w:t>
      </w:r>
    </w:p>
    <w:p w14:paraId="3219FA0D">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（1）公众普遍知晓的且并非因乙方违法行为而为公众所知的信息；</w:t>
      </w:r>
    </w:p>
    <w:p w14:paraId="3094A183">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（2）并非因为乙方违约而为公众获知的信息；</w:t>
      </w:r>
    </w:p>
    <w:p w14:paraId="18381E94">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（3）公安机关、市场监督管理机关等行政机关，检察院、法院等司法机关，仲裁机构，以及乙方上级主管部门要求乙方提供或披露的信息；</w:t>
      </w:r>
    </w:p>
    <w:p w14:paraId="78499A37">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（4）在乙方处理涉及获证产品的投诉，以及本合同双方诉讼/仲裁过程中须披露的信息。</w:t>
      </w:r>
    </w:p>
    <w:p w14:paraId="145851A2">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12.3当根据相关法律法规规定或本合同约定向第三方提供保密信息的，乙方应将提供的信息在合理期限内及时通知</w:t>
      </w:r>
      <w:r>
        <w:rPr>
          <w:rFonts w:hint="eastAsia" w:ascii="仿宋" w:hAnsi="仿宋" w:eastAsia="仿宋" w:cs="仿宋"/>
          <w:sz w:val="22"/>
          <w:szCs w:val="22"/>
          <w:lang w:eastAsia="zh-CN"/>
        </w:rPr>
        <w:t>甲方</w:t>
      </w:r>
      <w:r>
        <w:rPr>
          <w:rFonts w:hint="eastAsia" w:ascii="仿宋" w:hAnsi="仿宋" w:eastAsia="仿宋" w:cs="仿宋"/>
          <w:sz w:val="22"/>
          <w:szCs w:val="22"/>
        </w:rPr>
        <w:t>，除非法律限制。</w:t>
      </w:r>
    </w:p>
    <w:p w14:paraId="4CF4068E">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12.4保密期限为本合同项下评价服务结束之日起</w:t>
      </w:r>
      <w:r>
        <w:rPr>
          <w:rFonts w:ascii="仿宋" w:hAnsi="仿宋" w:eastAsia="仿宋" w:cs="仿宋"/>
          <w:sz w:val="22"/>
          <w:szCs w:val="22"/>
        </w:rPr>
        <w:t>20</w:t>
      </w:r>
      <w:r>
        <w:rPr>
          <w:rFonts w:hint="eastAsia" w:ascii="仿宋" w:hAnsi="仿宋" w:eastAsia="仿宋" w:cs="仿宋"/>
          <w:sz w:val="22"/>
          <w:szCs w:val="22"/>
        </w:rPr>
        <w:t>年。</w:t>
      </w:r>
    </w:p>
    <w:p w14:paraId="368630E7">
      <w:pPr>
        <w:rPr>
          <w:rFonts w:hint="eastAsia" w:ascii="仿宋" w:hAnsi="仿宋" w:eastAsia="仿宋" w:cs="仿宋"/>
          <w:b/>
          <w:sz w:val="22"/>
          <w:szCs w:val="22"/>
        </w:rPr>
      </w:pPr>
      <w:r>
        <w:rPr>
          <w:rFonts w:hint="eastAsia" w:ascii="仿宋" w:hAnsi="仿宋" w:eastAsia="仿宋" w:cs="仿宋"/>
          <w:b/>
          <w:sz w:val="22"/>
          <w:szCs w:val="22"/>
        </w:rPr>
        <w:t>13 不可抗力</w:t>
      </w:r>
    </w:p>
    <w:p w14:paraId="7528FF56">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13.1如不可抗力事件直接或间接导致任何一方不能履行或延迟履行本合同项下该方的任何义务，则该方不对该等不履行或延迟履行承担责任，但条件是该受影响方采取了合理的措施减轻不可抗力事件的影响。本条所称“不可抗力”指在本合同生效后发生的、本合同签署时不能预见的、其发生与后果是无法避免或克服的、妨碍任何一方全部或部分履约的所有事件。上述事件包括地震、台风、水灾、火灾、战争、流行病、大规模罢工、暴乱和其它突发事件，以及根据中国法律或一般国际商业惯例认作不可抗力的其他事件。</w:t>
      </w:r>
    </w:p>
    <w:p w14:paraId="180A3B97">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13.2受不可抗力影响的一方应在不可抗力事由消失后【20】日内，向另一方提供该等事件发生的详细信息以及证明本合同不能履行或延迟履行的有效证明。</w:t>
      </w:r>
    </w:p>
    <w:p w14:paraId="24051E6B">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13.3基于不可抗力对本合同履行的影响程度，双方应尽一切合理努力将不可抗力的影响减少到最低限度，并可协商确定是否变更、迟延履行或终止本合同。</w:t>
      </w:r>
    </w:p>
    <w:p w14:paraId="21516D7D">
      <w:pPr>
        <w:rPr>
          <w:rFonts w:hint="eastAsia" w:ascii="仿宋" w:hAnsi="仿宋" w:eastAsia="仿宋" w:cs="仿宋"/>
          <w:b/>
          <w:sz w:val="22"/>
          <w:szCs w:val="22"/>
        </w:rPr>
      </w:pPr>
      <w:r>
        <w:rPr>
          <w:rFonts w:hint="eastAsia" w:ascii="仿宋" w:hAnsi="仿宋" w:eastAsia="仿宋" w:cs="仿宋"/>
          <w:b/>
          <w:sz w:val="22"/>
          <w:szCs w:val="22"/>
        </w:rPr>
        <w:t>14 争议解决</w:t>
      </w:r>
    </w:p>
    <w:p w14:paraId="7F5464D9">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14.1本合同适用中国法律，并根据中国法律进行解释。</w:t>
      </w:r>
    </w:p>
    <w:p w14:paraId="168F0959">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14.2因本合同发生争议的，应由各方协商解决；协商解决不成的，任何一方有权向乙方所在地人民法院提起诉讼。</w:t>
      </w:r>
    </w:p>
    <w:p w14:paraId="0328FF8C">
      <w:pPr>
        <w:rPr>
          <w:rFonts w:hint="eastAsia" w:ascii="仿宋" w:hAnsi="仿宋" w:eastAsia="仿宋" w:cs="仿宋"/>
          <w:b/>
          <w:sz w:val="22"/>
          <w:szCs w:val="22"/>
        </w:rPr>
      </w:pPr>
      <w:r>
        <w:rPr>
          <w:rFonts w:hint="eastAsia" w:ascii="仿宋" w:hAnsi="仿宋" w:eastAsia="仿宋" w:cs="仿宋"/>
          <w:b/>
          <w:sz w:val="22"/>
          <w:szCs w:val="22"/>
        </w:rPr>
        <w:t>15 生效及其他</w:t>
      </w:r>
    </w:p>
    <w:p w14:paraId="2B52764C">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15.1本合同经甲方法定代表人/授权代表签字、乙方授权代表签字并加盖双方公章或合同专用章后生效。本通用条款在</w:t>
      </w:r>
      <w:r>
        <w:rPr>
          <w:rFonts w:hint="eastAsia" w:ascii="仿宋" w:hAnsi="仿宋" w:eastAsia="仿宋" w:cs="仿宋"/>
          <w:sz w:val="22"/>
          <w:szCs w:val="22"/>
          <w:lang w:eastAsia="zh-CN"/>
        </w:rPr>
        <w:t>甲方</w:t>
      </w:r>
      <w:r>
        <w:rPr>
          <w:rFonts w:hint="eastAsia" w:ascii="仿宋" w:hAnsi="仿宋" w:eastAsia="仿宋" w:cs="仿宋"/>
          <w:sz w:val="22"/>
          <w:szCs w:val="22"/>
        </w:rPr>
        <w:t>持有有效评价证书时有效。</w:t>
      </w:r>
    </w:p>
    <w:p w14:paraId="6B261102">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15.2经协商一致，双方可变更或解除本合同，但均应采用书面形式。对于</w:t>
      </w:r>
      <w:r>
        <w:rPr>
          <w:rFonts w:hint="eastAsia" w:ascii="仿宋" w:hAnsi="仿宋" w:eastAsia="仿宋" w:cs="仿宋"/>
          <w:sz w:val="22"/>
          <w:szCs w:val="22"/>
          <w:lang w:eastAsia="zh-CN"/>
        </w:rPr>
        <w:t>甲方</w:t>
      </w:r>
      <w:r>
        <w:rPr>
          <w:rFonts w:hint="eastAsia" w:ascii="仿宋" w:hAnsi="仿宋" w:eastAsia="仿宋" w:cs="仿宋"/>
          <w:sz w:val="22"/>
          <w:szCs w:val="22"/>
        </w:rPr>
        <w:t>提交的评价申请文件、乙方制定的评价方案、本合同附件以及双方就本合同项下未尽事宜签订的补充协议，均属于本合同不可分割的组成部分。</w:t>
      </w:r>
    </w:p>
    <w:p w14:paraId="08C428AF">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15.3</w:t>
      </w:r>
      <w:r>
        <w:rPr>
          <w:rFonts w:hint="eastAsia" w:ascii="仿宋" w:hAnsi="仿宋" w:eastAsia="仿宋" w:cs="仿宋"/>
          <w:b/>
          <w:bCs/>
          <w:sz w:val="22"/>
          <w:szCs w:val="22"/>
        </w:rPr>
        <w:t>因履行本合同需要向对方发送资料、通知及/或函件的，乙方一般通过电子邮件发送通知，收件和发件邮箱地址以主合同首部记载内容为准</w:t>
      </w:r>
      <w:r>
        <w:rPr>
          <w:rFonts w:hint="eastAsia" w:ascii="仿宋" w:hAnsi="仿宋" w:eastAsia="仿宋" w:cs="仿宋"/>
          <w:sz w:val="22"/>
          <w:szCs w:val="22"/>
        </w:rPr>
        <w:t>；重要信息双方均采用书面形式以邮寄方式送达，送达地址以本合同首部记载通讯地址为准，邮寄方式送达日期以接收方签收之日为准。双方均应保证送达地址的准确性和有效性，地址变更前7日内应当以书面方式通知对方。因接收方原因导致通知、函件无法送达的，包括拒收、退信等，通知、函件寄出日视为实际送达日，相关责任由接收方承担。本合同关于送达方式如有特别约定的，从其约定。</w:t>
      </w:r>
    </w:p>
    <w:p w14:paraId="7F8BD779">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15.4</w:t>
      </w:r>
      <w:r>
        <w:rPr>
          <w:rFonts w:hint="eastAsia" w:ascii="仿宋" w:hAnsi="仿宋" w:eastAsia="仿宋" w:cs="仿宋"/>
          <w:b/>
          <w:bCs/>
          <w:sz w:val="22"/>
          <w:szCs w:val="22"/>
        </w:rPr>
        <w:t>本合同任何一方未行使或延迟行使本合同项下的权利，不得视为对该权利的放弃；任何单独一次或部分行使权利，也不得妨碍将来行使该等权利。乙方在提供评价服务时既不取代</w:t>
      </w:r>
      <w:r>
        <w:rPr>
          <w:rFonts w:hint="eastAsia" w:ascii="仿宋" w:hAnsi="仿宋" w:eastAsia="仿宋" w:cs="仿宋"/>
          <w:b/>
          <w:bCs/>
          <w:sz w:val="22"/>
          <w:szCs w:val="22"/>
          <w:lang w:eastAsia="zh-CN"/>
        </w:rPr>
        <w:t>甲方</w:t>
      </w:r>
      <w:r>
        <w:rPr>
          <w:rFonts w:hint="eastAsia" w:ascii="仿宋" w:hAnsi="仿宋" w:eastAsia="仿宋" w:cs="仿宋"/>
          <w:b/>
          <w:bCs/>
          <w:sz w:val="22"/>
          <w:szCs w:val="22"/>
        </w:rPr>
        <w:t>或任何第三方的位置，也不免除他们应负的任何责任，此外也不承担、不削减、不承诺解除</w:t>
      </w:r>
      <w:r>
        <w:rPr>
          <w:rFonts w:hint="eastAsia" w:ascii="仿宋" w:hAnsi="仿宋" w:eastAsia="仿宋" w:cs="仿宋"/>
          <w:b/>
          <w:bCs/>
          <w:sz w:val="22"/>
          <w:szCs w:val="22"/>
          <w:lang w:eastAsia="zh-CN"/>
        </w:rPr>
        <w:t>甲方</w:t>
      </w:r>
      <w:r>
        <w:rPr>
          <w:rFonts w:hint="eastAsia" w:ascii="仿宋" w:hAnsi="仿宋" w:eastAsia="仿宋" w:cs="仿宋"/>
          <w:b/>
          <w:bCs/>
          <w:sz w:val="22"/>
          <w:szCs w:val="22"/>
        </w:rPr>
        <w:t>对任何第三方或任何第三方对</w:t>
      </w:r>
      <w:r>
        <w:rPr>
          <w:rFonts w:hint="eastAsia" w:ascii="仿宋" w:hAnsi="仿宋" w:eastAsia="仿宋" w:cs="仿宋"/>
          <w:b/>
          <w:bCs/>
          <w:sz w:val="22"/>
          <w:szCs w:val="22"/>
          <w:lang w:eastAsia="zh-CN"/>
        </w:rPr>
        <w:t>甲方</w:t>
      </w:r>
      <w:r>
        <w:rPr>
          <w:rFonts w:hint="eastAsia" w:ascii="仿宋" w:hAnsi="仿宋" w:eastAsia="仿宋" w:cs="仿宋"/>
          <w:b/>
          <w:bCs/>
          <w:sz w:val="22"/>
          <w:szCs w:val="22"/>
        </w:rPr>
        <w:t>的任何责任。</w:t>
      </w:r>
    </w:p>
    <w:p w14:paraId="2BE5C543">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15.5如本合同中的某一条或几条无效，并不影响本合同其它条款的有效性、合法性和可执行性。</w:t>
      </w:r>
    </w:p>
    <w:p w14:paraId="611F8BF0">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15.6本合同一式【</w:t>
      </w:r>
      <w:r>
        <w:rPr>
          <w:rFonts w:hint="eastAsia" w:ascii="仿宋" w:hAnsi="仿宋" w:eastAsia="仿宋" w:cs="仿宋"/>
          <w:sz w:val="22"/>
          <w:szCs w:val="22"/>
          <w:lang w:val="en-US" w:eastAsia="zh-CN"/>
        </w:rPr>
        <w:t>2</w:t>
      </w:r>
      <w:r>
        <w:rPr>
          <w:rFonts w:hint="eastAsia" w:ascii="仿宋" w:hAnsi="仿宋" w:eastAsia="仿宋" w:cs="仿宋"/>
          <w:sz w:val="22"/>
          <w:szCs w:val="22"/>
        </w:rPr>
        <w:t>】份，双方各执【</w:t>
      </w:r>
      <w:r>
        <w:rPr>
          <w:rFonts w:hint="eastAsia" w:ascii="仿宋" w:hAnsi="仿宋" w:eastAsia="仿宋" w:cs="仿宋"/>
          <w:sz w:val="22"/>
          <w:szCs w:val="22"/>
          <w:lang w:val="en-US" w:eastAsia="zh-CN"/>
        </w:rPr>
        <w:t>1</w:t>
      </w:r>
      <w:r>
        <w:rPr>
          <w:rFonts w:hint="eastAsia" w:ascii="仿宋" w:hAnsi="仿宋" w:eastAsia="仿宋" w:cs="仿宋"/>
          <w:sz w:val="22"/>
          <w:szCs w:val="22"/>
        </w:rPr>
        <w:t>】份，每份具有同等法律效力。</w:t>
      </w:r>
    </w:p>
    <w:p w14:paraId="082E6B0A">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15.7</w:t>
      </w:r>
      <w:r>
        <w:rPr>
          <w:rFonts w:hint="eastAsia" w:ascii="仿宋" w:hAnsi="仿宋" w:eastAsia="仿宋" w:cs="仿宋"/>
          <w:b/>
          <w:bCs/>
        </w:rPr>
        <w:t>甲方郑重声明：甲方已详细阅读并充分理解本合同项下的全部条款，以及本合同中所约定的评价依据和评价标准，一经签署即表明同意受本合同约束。</w:t>
      </w:r>
    </w:p>
    <w:p w14:paraId="2616B564">
      <w:pPr>
        <w:widowControl w:val="0"/>
        <w:numPr>
          <w:ilvl w:val="0"/>
          <w:numId w:val="0"/>
        </w:numPr>
        <w:jc w:val="left"/>
        <w:rPr>
          <w:rFonts w:hint="default" w:ascii="Times New Roman" w:hAnsi="Times New Roman" w:eastAsia="宋体" w:cs="Times New Roman"/>
          <w:sz w:val="24"/>
          <w:szCs w:val="24"/>
          <w:lang w:val="en-US" w:eastAsia="zh-CN"/>
        </w:rPr>
      </w:pPr>
    </w:p>
    <w:p w14:paraId="4D056545">
      <w:pPr>
        <w:spacing w:line="360" w:lineRule="auto"/>
        <w:ind w:right="-693" w:rightChars="-330"/>
        <w:rPr>
          <w:rFonts w:ascii="仿宋_GB2312" w:hAnsi="仿宋_GB2312" w:eastAsia="仿宋_GB2312" w:cs="仿宋_GB2312"/>
          <w:color w:val="000000"/>
          <w:sz w:val="22"/>
        </w:rPr>
      </w:pPr>
      <w:r>
        <w:rPr>
          <w:rFonts w:hint="eastAsia" w:ascii="仿宋_GB2312" w:hAnsi="仿宋_GB2312" w:eastAsia="仿宋_GB2312" w:cs="仿宋_GB2312"/>
          <w:b/>
          <w:sz w:val="22"/>
        </w:rPr>
        <w:t>合作协议签署页</w:t>
      </w:r>
    </w:p>
    <w:p w14:paraId="0D2B18F6">
      <w:pPr>
        <w:spacing w:line="360" w:lineRule="auto"/>
        <w:rPr>
          <w:rFonts w:ascii="仿宋_GB2312" w:hAnsi="仿宋_GB2312" w:eastAsia="仿宋_GB2312" w:cs="仿宋_GB2312"/>
          <w:color w:val="FF0000"/>
          <w:sz w:val="22"/>
          <w:u w:val="single"/>
        </w:rPr>
      </w:pPr>
      <w:r>
        <w:rPr>
          <w:rFonts w:hint="eastAsia" w:ascii="仿宋_GB2312" w:hAnsi="仿宋_GB2312" w:eastAsia="仿宋_GB2312" w:cs="仿宋_GB2312"/>
          <w:color w:val="000000"/>
          <w:sz w:val="22"/>
        </w:rPr>
        <w:t xml:space="preserve">甲方： </w:t>
      </w:r>
      <w:r>
        <w:rPr>
          <w:rFonts w:hint="eastAsia" w:ascii="仿宋_GB2312" w:hAnsi="仿宋_GB2312" w:eastAsia="仿宋_GB2312" w:cs="仿宋_GB2312"/>
          <w:color w:val="000000"/>
          <w:sz w:val="22"/>
          <w:lang w:val="en-US" w:eastAsia="zh-CN"/>
        </w:rPr>
        <w:t xml:space="preserve">                           </w:t>
      </w:r>
      <w:r>
        <w:rPr>
          <w:rFonts w:hint="eastAsia" w:ascii="仿宋_GB2312" w:hAnsi="仿宋_GB2312" w:eastAsia="仿宋_GB2312" w:cs="仿宋_GB2312"/>
          <w:color w:val="000000"/>
          <w:sz w:val="22"/>
        </w:rPr>
        <w:t xml:space="preserve">       乙方： 中国</w:t>
      </w:r>
      <w:r>
        <w:rPr>
          <w:rFonts w:ascii="仿宋_GB2312" w:hAnsi="仿宋_GB2312" w:eastAsia="仿宋_GB2312" w:cs="仿宋_GB2312"/>
          <w:color w:val="000000"/>
          <w:sz w:val="22"/>
        </w:rPr>
        <w:t>质量认证中心南京分中心</w:t>
      </w:r>
    </w:p>
    <w:p w14:paraId="3D9F4923">
      <w:pPr>
        <w:spacing w:line="360" w:lineRule="auto"/>
        <w:ind w:left="324"/>
        <w:rPr>
          <w:rFonts w:ascii="仿宋_GB2312" w:hAnsi="仿宋_GB2312" w:eastAsia="仿宋_GB2312" w:cs="仿宋_GB2312"/>
          <w:color w:val="000000"/>
          <w:sz w:val="22"/>
        </w:rPr>
      </w:pPr>
    </w:p>
    <w:p w14:paraId="5AD47AED">
      <w:pPr>
        <w:spacing w:line="360" w:lineRule="auto"/>
        <w:ind w:right="-693" w:rightChars="-330"/>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授权代表（签字）：</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授权代表（签字）：</w:t>
      </w:r>
    </w:p>
    <w:p w14:paraId="5311A4CA">
      <w:pPr>
        <w:spacing w:line="360" w:lineRule="auto"/>
        <w:ind w:left="324"/>
        <w:rPr>
          <w:rFonts w:ascii="仿宋_GB2312" w:hAnsi="仿宋_GB2312" w:eastAsia="仿宋_GB2312" w:cs="仿宋_GB2312"/>
          <w:color w:val="000000"/>
          <w:sz w:val="22"/>
        </w:rPr>
      </w:pPr>
    </w:p>
    <w:p w14:paraId="03552067">
      <w:pPr>
        <w:spacing w:line="360" w:lineRule="auto"/>
        <w:rPr>
          <w:rFonts w:ascii="仿宋_GB2312" w:hAnsi="仿宋_GB2312" w:eastAsia="仿宋_GB2312" w:cs="仿宋_GB2312"/>
          <w:sz w:val="22"/>
        </w:rPr>
      </w:pPr>
      <w:r>
        <w:rPr>
          <w:rFonts w:hint="eastAsia" w:ascii="仿宋_GB2312" w:hAnsi="仿宋_GB2312" w:eastAsia="仿宋_GB2312" w:cs="仿宋_GB2312"/>
          <w:color w:val="000000"/>
          <w:sz w:val="22"/>
        </w:rPr>
        <w:t>日期：</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年</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月</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日</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日期：</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年</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月</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日</w:t>
      </w:r>
    </w:p>
    <w:p w14:paraId="2EFC2845">
      <w:pPr>
        <w:widowControl w:val="0"/>
        <w:numPr>
          <w:ilvl w:val="0"/>
          <w:numId w:val="0"/>
        </w:numPr>
        <w:jc w:val="left"/>
        <w:rPr>
          <w:rFonts w:hint="default" w:ascii="Times New Roman" w:hAnsi="Times New Roman" w:eastAsia="宋体" w:cs="Times New Roman"/>
          <w:sz w:val="24"/>
          <w:szCs w:val="24"/>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C09264A">
      <w:pPr>
        <w:pStyle w:val="6"/>
      </w:pPr>
      <w:r>
        <w:rPr>
          <w:rStyle w:val="9"/>
        </w:rPr>
        <w:footnoteRef/>
      </w:r>
      <w:r>
        <w:t xml:space="preserve"> </w:t>
      </w:r>
      <w:r>
        <w:rPr>
          <w:rFonts w:hint="eastAsia"/>
        </w:rPr>
        <w:t>评价对象包括接受评价的法律主体及其</w:t>
      </w:r>
      <w:r>
        <w:rPr>
          <w:rFonts w:hint="eastAsia" w:ascii="宋体" w:hAnsi="宋体"/>
        </w:rPr>
        <w:t>标准化各项活动</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92A3">
    <w:pPr>
      <w:pStyle w:val="5"/>
    </w:pPr>
    <w:r>
      <w:rPr>
        <w:rFonts w:ascii="黑体" w:eastAsia="黑体"/>
        <w:bCs/>
        <w:sz w:val="20"/>
      </w:rPr>
      <w:drawing>
        <wp:anchor distT="0" distB="0" distL="114300" distR="114300" simplePos="0" relativeHeight="251659264" behindDoc="1" locked="0" layoutInCell="1" allowOverlap="1">
          <wp:simplePos x="0" y="0"/>
          <wp:positionH relativeFrom="column">
            <wp:posOffset>9525</wp:posOffset>
          </wp:positionH>
          <wp:positionV relativeFrom="paragraph">
            <wp:posOffset>6985</wp:posOffset>
          </wp:positionV>
          <wp:extent cx="654050" cy="459740"/>
          <wp:effectExtent l="0" t="0" r="0" b="0"/>
          <wp:wrapNone/>
          <wp:docPr id="2" name="图片 1" descr="正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正标志"/>
                  <pic:cNvPicPr>
                    <a:picLocks noChangeAspect="1"/>
                  </pic:cNvPicPr>
                </pic:nvPicPr>
                <pic:blipFill>
                  <a:blip r:embed="rId1"/>
                  <a:stretch>
                    <a:fillRect/>
                  </a:stretch>
                </pic:blipFill>
                <pic:spPr>
                  <a:xfrm>
                    <a:off x="0" y="0"/>
                    <a:ext cx="654050" cy="459740"/>
                  </a:xfrm>
                  <a:prstGeom prst="rect">
                    <a:avLst/>
                  </a:prstGeom>
                  <a:noFill/>
                  <a:ln>
                    <a:noFill/>
                  </a:ln>
                </pic:spPr>
              </pic:pic>
            </a:graphicData>
          </a:graphic>
        </wp:anchor>
      </w:drawing>
    </w:r>
  </w:p>
  <w:p w14:paraId="6B2E845A">
    <w:pPr>
      <w:pStyle w:val="5"/>
    </w:pPr>
  </w:p>
  <w:p w14:paraId="0E031EF2">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zY2MxZjlhMjZjNmExNzhjMzdlNzg3NTdjY2EyOTQifQ=="/>
  </w:docVars>
  <w:rsids>
    <w:rsidRoot w:val="00E0427C"/>
    <w:rsid w:val="00060288"/>
    <w:rsid w:val="00167EE1"/>
    <w:rsid w:val="00237DB5"/>
    <w:rsid w:val="0030760B"/>
    <w:rsid w:val="0041642B"/>
    <w:rsid w:val="00456098"/>
    <w:rsid w:val="00495BB6"/>
    <w:rsid w:val="00523D88"/>
    <w:rsid w:val="005C1D89"/>
    <w:rsid w:val="00625957"/>
    <w:rsid w:val="006B2506"/>
    <w:rsid w:val="006E4765"/>
    <w:rsid w:val="006F7F90"/>
    <w:rsid w:val="00771BCD"/>
    <w:rsid w:val="007938FD"/>
    <w:rsid w:val="007C3A85"/>
    <w:rsid w:val="0080371D"/>
    <w:rsid w:val="008F2C4E"/>
    <w:rsid w:val="009505A1"/>
    <w:rsid w:val="0099315C"/>
    <w:rsid w:val="00A21794"/>
    <w:rsid w:val="00A64596"/>
    <w:rsid w:val="00A7544A"/>
    <w:rsid w:val="00AF74F8"/>
    <w:rsid w:val="00B07B73"/>
    <w:rsid w:val="00B20DE3"/>
    <w:rsid w:val="00B31747"/>
    <w:rsid w:val="00B36B05"/>
    <w:rsid w:val="00BB2CA8"/>
    <w:rsid w:val="00C65690"/>
    <w:rsid w:val="00CE24E7"/>
    <w:rsid w:val="00CE648F"/>
    <w:rsid w:val="00CF6F59"/>
    <w:rsid w:val="00D03FD2"/>
    <w:rsid w:val="00D06F22"/>
    <w:rsid w:val="00D14530"/>
    <w:rsid w:val="00D42AE8"/>
    <w:rsid w:val="00D93A66"/>
    <w:rsid w:val="00E0427C"/>
    <w:rsid w:val="00E244AE"/>
    <w:rsid w:val="00E82EA6"/>
    <w:rsid w:val="00FA076F"/>
    <w:rsid w:val="00FA12B8"/>
    <w:rsid w:val="00FB5E6E"/>
    <w:rsid w:val="00FF4EDA"/>
    <w:rsid w:val="06AC7BAA"/>
    <w:rsid w:val="06D90CFB"/>
    <w:rsid w:val="0BDE647F"/>
    <w:rsid w:val="0E71556B"/>
    <w:rsid w:val="0EAE7CFA"/>
    <w:rsid w:val="0F25356B"/>
    <w:rsid w:val="104300D8"/>
    <w:rsid w:val="123C528D"/>
    <w:rsid w:val="13FB09DC"/>
    <w:rsid w:val="15A6763A"/>
    <w:rsid w:val="15E67866"/>
    <w:rsid w:val="1A7B5D47"/>
    <w:rsid w:val="1AD17EEB"/>
    <w:rsid w:val="1C16572A"/>
    <w:rsid w:val="22FB3231"/>
    <w:rsid w:val="24203AFA"/>
    <w:rsid w:val="25B6460E"/>
    <w:rsid w:val="2CC92F5B"/>
    <w:rsid w:val="2F817677"/>
    <w:rsid w:val="304F382B"/>
    <w:rsid w:val="309D6AAB"/>
    <w:rsid w:val="31436954"/>
    <w:rsid w:val="343407F7"/>
    <w:rsid w:val="346D6C0B"/>
    <w:rsid w:val="34D93BC8"/>
    <w:rsid w:val="38A33B00"/>
    <w:rsid w:val="39336068"/>
    <w:rsid w:val="3D686733"/>
    <w:rsid w:val="44D50DBE"/>
    <w:rsid w:val="45504DF3"/>
    <w:rsid w:val="49304446"/>
    <w:rsid w:val="4BE45B60"/>
    <w:rsid w:val="52FC6B94"/>
    <w:rsid w:val="571D445A"/>
    <w:rsid w:val="5A272AB5"/>
    <w:rsid w:val="5C415A6E"/>
    <w:rsid w:val="5C8E5071"/>
    <w:rsid w:val="667B4B8C"/>
    <w:rsid w:val="6A51195F"/>
    <w:rsid w:val="6B6237AD"/>
    <w:rsid w:val="6C52405F"/>
    <w:rsid w:val="6E3538E9"/>
    <w:rsid w:val="71C35DA7"/>
    <w:rsid w:val="740F0F8E"/>
    <w:rsid w:val="7B7226A6"/>
    <w:rsid w:val="7BE527D1"/>
    <w:rsid w:val="7E7D6233"/>
    <w:rsid w:val="7E81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eastAsia="仿宋_GB2312"/>
      <w:kern w:val="0"/>
      <w:sz w:val="28"/>
      <w:szCs w:val="20"/>
    </w:rPr>
  </w:style>
  <w:style w:type="paragraph" w:styleId="3">
    <w:name w:val="annotation text"/>
    <w:basedOn w:val="1"/>
    <w:qFormat/>
    <w:uiPriority w:val="0"/>
    <w:pPr>
      <w:jc w:val="left"/>
    </w:pPr>
    <w:rPr>
      <w:kern w:val="2"/>
      <w:sz w:val="24"/>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kern w:val="2"/>
      <w:sz w:val="18"/>
      <w:szCs w:val="18"/>
    </w:rPr>
  </w:style>
  <w:style w:type="character" w:styleId="9">
    <w:name w:val="footnote reference"/>
    <w:qFormat/>
    <w:uiPriority w:val="0"/>
    <w:rPr>
      <w:vertAlign w:val="superscript"/>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6318</Words>
  <Characters>6594</Characters>
  <Lines>19</Lines>
  <Paragraphs>5</Paragraphs>
  <TotalTime>17</TotalTime>
  <ScaleCrop>false</ScaleCrop>
  <LinksUpToDate>false</LinksUpToDate>
  <CharactersWithSpaces>6920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2020-11-20T06:31:00Z</dcterms:created>
  <dc:creator>13795</dc:creator>
  <cp:lastModifiedBy>宦雍虞邕</cp:lastModifiedBy>
  <dcterms:modified xsi:type="dcterms:W3CDTF">2026-01-20T09:20:43Z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8175F7940C2F47F9BEF632E81A348380_13</vt:lpwstr>
  </property>
  <property fmtid="{D5CDD505-2E9C-101B-9397-08002B2CF9AE}" pid="4" name="KSOTemplateDocerSaveRecord">
    <vt:lpwstr>eyJoZGlkIjoiY2E4YjE1OGU0YTI2MzQ2ZWQ2MzAzMzczOWMwMWU3NTEiLCJ1c2VySWQiOiIxNzMwNzgwNzIifQ==</vt:lpwstr>
  </property>
</Properties>
</file>