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5B96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合 规</w:t>
      </w:r>
      <w:r>
        <w:rPr>
          <w:rFonts w:hint="eastAsia" w:ascii="方正小标宋简体" w:eastAsia="方正小标宋简体"/>
          <w:sz w:val="36"/>
          <w:szCs w:val="36"/>
        </w:rPr>
        <w:t xml:space="preserve"> 承 诺</w:t>
      </w:r>
    </w:p>
    <w:p w14:paraId="02DCEB1F">
      <w:pPr>
        <w:ind w:firstLine="640" w:firstLineChars="20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u w:val="single"/>
          <w:lang w:val="en-US" w:eastAsia="zh-CN"/>
        </w:rPr>
        <w:t>XX公司</w:t>
      </w:r>
      <w:r>
        <w:rPr>
          <w:rFonts w:hint="eastAsia" w:ascii="方正仿宋简体" w:eastAsia="方正仿宋简体"/>
          <w:sz w:val="32"/>
          <w:szCs w:val="32"/>
        </w:rPr>
        <w:t>承诺如下：</w:t>
      </w:r>
    </w:p>
    <w:p w14:paraId="161240F0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为响应国家数据安全战略部署，落实数据分类分级保护相关法律法规要求，保障数据资产安全可控与合法流通，本单位就参与中国质量认证中心（CQC）“数据安全 数据分类分级保护评价”（业务代码：095004）事宜，郑重作出如下合规承诺：</w:t>
      </w:r>
    </w:p>
    <w:p w14:paraId="6D032826">
      <w:pPr>
        <w:ind w:firstLine="705"/>
        <w:jc w:val="left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一、承诺前提与基础</w:t>
      </w:r>
    </w:p>
    <w:p w14:paraId="21007C45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本单位已充分知晓并理解《数据安全法》《个人信息保护法》等法律法规对数据分类分级保护的强制性要求，明确 GB/T 43697-2024《数据安全技术 数据分类分级规则》及 CQC92-843006-2025《数据安全 数据分类分级保护评价实施规则》的全部评价要求。</w:t>
      </w:r>
    </w:p>
    <w:p w14:paraId="372ABB62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本单位自愿申请参与该评价业务，认可评价采用的“文件评审+现场核查”方式，接受CQC作为独立第三方权威机构的专业评估与监督。</w:t>
      </w:r>
    </w:p>
    <w:p w14:paraId="7DDED8A9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本单位清楚知晓数据分类分级是数据安全管理的基石，承诺通过评价推动内部数据治理标准化，实现数据安全与价值释放的双重目标。</w:t>
      </w:r>
    </w:p>
    <w:p w14:paraId="3ED18511">
      <w:pPr>
        <w:ind w:firstLine="705"/>
        <w:jc w:val="left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二、核心合规承诺内容</w:t>
      </w:r>
    </w:p>
    <w:p w14:paraId="6312C972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（一）数据分类分级实施合规</w:t>
      </w:r>
    </w:p>
    <w:p w14:paraId="3A814DE5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严格按照国家标准及行业特性，建立覆盖数据全生命周期的分类分级管理制度，明确数据类别划分维度与核心数据、重要数据、一般数据的分级标准，确保分类清晰、分级准确。</w:t>
      </w:r>
    </w:p>
    <w:p w14:paraId="4AB5ABB3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全面梳理内部数据资产，建立统一的数据资源目录，实现数据来源、类型、级别、用途等关键信息的可追溯，杜绝数据管理混乱现象。</w:t>
      </w:r>
    </w:p>
    <w:p w14:paraId="75D8DC5A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针对不同级别数据制定差异化保护策略，对核心数据实施最高级别安全防护，包括加密存储、严格访问控制、全程安全审计等措施，对一般数据优化管理效率，平衡安全与使用需求。</w:t>
      </w:r>
    </w:p>
    <w:p w14:paraId="77DECEB1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（二）评价配合与材料真实性</w:t>
      </w:r>
    </w:p>
    <w:p w14:paraId="56658887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积极配合CQC开展评价工作，按照要求提供完整、真实、有效的文件资料，包括但不限于数据分类分级制度文件、实施记录、安全防护方案、应急处置预案等。</w:t>
      </w:r>
    </w:p>
    <w:p w14:paraId="4B3B999D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为现场核查提供必要的工作条件与协助，如实披露数据分类分级实施情况，不隐瞒、不谎报任何与评价相关的信息，不干预评价过程的公正性。</w:t>
      </w:r>
    </w:p>
    <w:p w14:paraId="4963248D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保证所提交的申请材料、证明文件及评价过程中提供的各类信息均真实有效，无伪造、篡改等违规行为。</w:t>
      </w:r>
    </w:p>
    <w:p w14:paraId="77562FF2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（三）长效管理与动态合规</w:t>
      </w:r>
    </w:p>
    <w:p w14:paraId="047E8B33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建立数据分类分级动态更新机制，根据业务场景变化、数据用途调整及监管要求更新，及时优化分类分级策略，确保持续符合国家标准与评价要求。</w:t>
      </w:r>
    </w:p>
    <w:p w14:paraId="5327335E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制定全员数据安全培训计划，定期开展分类分级保护知识与技能培训，明确各岗位数据安全责任，提升全员合规意识与执行能力。</w:t>
      </w:r>
    </w:p>
    <w:p w14:paraId="58E9DBDD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建立内部数据安全监督与自查机制，每季度开展分类分级合规性自查，及时整改发现的问题，形成闭环管理。</w:t>
      </w:r>
    </w:p>
    <w:p w14:paraId="7564874A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（四）风险防控与责任承担</w:t>
      </w:r>
    </w:p>
    <w:p w14:paraId="2497DA0D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健全数据安全风险评估与应急响应体系，定期开展数据安全风险评估，针对数据泄露、篡改等突发情况制定应急预案并组织演练。</w:t>
      </w:r>
    </w:p>
    <w:p w14:paraId="34B2991C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严格规范数据共享、传输、交易等行为，以分类分级结果为依据开展数据流通活动，保障数据接收方符合相应安全保护要求。</w:t>
      </w:r>
    </w:p>
    <w:p w14:paraId="5853BD98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若发生数据安全违规事件或未达到评价合规要求，自愿承担相应法律责任，接受CQC的评价结果处理，积极采取整改措施并承担全部整改成本。</w:t>
      </w:r>
    </w:p>
    <w:p w14:paraId="7F04E969">
      <w:pPr>
        <w:ind w:firstLine="705"/>
        <w:jc w:val="left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三、承诺履行与监督</w:t>
      </w:r>
    </w:p>
    <w:p w14:paraId="50AA657F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本承诺自签署之日起生效，有效期与评价证书有效期一致；评价证书到期后，若继续申请延续，本承诺自动延续至新的评价周期。</w:t>
      </w:r>
    </w:p>
    <w:p w14:paraId="66934A68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本单位自愿接受CQC、行业监管部门及社会公众的监督，如违反本承诺内容，愿意承担由此产生的一切法律责任、经济损失及声誉损失，CQC有权撤销已出具的评价证书并向社会公示。</w:t>
      </w:r>
    </w:p>
    <w:p w14:paraId="38A37892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若相关法律法规、国家标准或评价规则发生更新，本单位将主动对标调整，确保承诺内容持续符合最新合规要求。</w:t>
      </w:r>
    </w:p>
    <w:p w14:paraId="37B23E87">
      <w:pPr>
        <w:ind w:firstLine="705"/>
        <w:jc w:val="left"/>
        <w:rPr>
          <w:rFonts w:hint="eastAsia" w:ascii="方正仿宋简体" w:eastAsia="方正仿宋简体"/>
          <w:sz w:val="32"/>
          <w:szCs w:val="32"/>
        </w:rPr>
      </w:pPr>
    </w:p>
    <w:p w14:paraId="02D62EF6">
      <w:pPr>
        <w:ind w:firstLine="705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 xml:space="preserve">          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单位盖章</w:t>
      </w:r>
      <w:r>
        <w:rPr>
          <w:rFonts w:hint="eastAsia" w:ascii="方正仿宋简体" w:eastAsia="方正仿宋简体"/>
          <w:sz w:val="32"/>
          <w:szCs w:val="32"/>
        </w:rPr>
        <w:t>：</w:t>
      </w:r>
    </w:p>
    <w:p w14:paraId="47A2E561">
      <w:pPr>
        <w:ind w:firstLine="705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sz w:val="32"/>
          <w:szCs w:val="32"/>
        </w:rPr>
        <w:t xml:space="preserve">日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32"/>
          <w:szCs w:val="32"/>
        </w:rPr>
        <w:t>期：</w:t>
      </w:r>
    </w:p>
    <w:p w14:paraId="7ED7AF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23C2F"/>
    <w:rsid w:val="7B52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2025-12-29T06:20:00Z</dcterms:created>
  <dc:creator>安非他命</dc:creator>
  <cp:lastModifiedBy>安非他命</cp:lastModifiedBy>
  <dcterms:modified xsi:type="dcterms:W3CDTF">2025-12-29T07:49:48Z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FF3BFB32FB324D45B2DCBF4CECC2873E_11</vt:lpwstr>
  </property>
</Properties>
</file>